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EC15B" w14:textId="3E7A2064" w:rsidR="003A2C21" w:rsidRPr="008D5937" w:rsidRDefault="003A2C21" w:rsidP="003A2C21">
      <w:pPr>
        <w:pStyle w:val="Textoindependiente"/>
        <w:tabs>
          <w:tab w:val="left" w:pos="4680"/>
        </w:tabs>
        <w:jc w:val="center"/>
        <w:rPr>
          <w:b/>
          <w:szCs w:val="22"/>
        </w:rPr>
      </w:pPr>
      <w:r w:rsidRPr="008D5937">
        <w:rPr>
          <w:b/>
          <w:szCs w:val="22"/>
        </w:rPr>
        <w:t>LA</w:t>
      </w:r>
      <w:r w:rsidR="007551A4">
        <w:rPr>
          <w:b/>
          <w:szCs w:val="22"/>
        </w:rPr>
        <w:t xml:space="preserve"> </w:t>
      </w:r>
      <w:r w:rsidRPr="008D5937">
        <w:rPr>
          <w:b/>
          <w:szCs w:val="22"/>
        </w:rPr>
        <w:t>DIRECCCION DE INVESTIGACIONES Y CONTROL DE VIVIENDA DE LA SUBSECRETARÍA DE INSPECCIÓN, VIGILANCIA Y CONTROL DE VIVIENDA DE LA SECRETARÍA DISTRITAL DEL HÁBITAT</w:t>
      </w:r>
    </w:p>
    <w:p w14:paraId="7C1C8F2E" w14:textId="77777777" w:rsidR="003A2C21" w:rsidRPr="008D5937" w:rsidRDefault="003A2C21" w:rsidP="003A2C21">
      <w:pPr>
        <w:pStyle w:val="Textoindependiente"/>
        <w:tabs>
          <w:tab w:val="left" w:pos="5168"/>
        </w:tabs>
        <w:rPr>
          <w:b/>
          <w:szCs w:val="22"/>
        </w:rPr>
      </w:pPr>
    </w:p>
    <w:p w14:paraId="6EADD0B8" w14:textId="174954FF" w:rsidR="003A2C21" w:rsidRPr="008D5937" w:rsidRDefault="003A2C21" w:rsidP="003A2C21">
      <w:pPr>
        <w:pStyle w:val="Textoindependiente"/>
        <w:tabs>
          <w:tab w:val="left" w:pos="5384"/>
        </w:tabs>
        <w:jc w:val="center"/>
        <w:rPr>
          <w:b/>
          <w:szCs w:val="22"/>
        </w:rPr>
      </w:pPr>
      <w:r w:rsidRPr="008D5937">
        <w:rPr>
          <w:szCs w:val="22"/>
        </w:rPr>
        <w:t xml:space="preserve">En ejercicio de las atribuciones conferidas por la Ley 66 de 1968, los Decretos Ley 2610 de 1979, 078 de 1987, </w:t>
      </w:r>
      <w:r w:rsidR="009B63A4">
        <w:rPr>
          <w:szCs w:val="22"/>
        </w:rPr>
        <w:t>el</w:t>
      </w:r>
      <w:r w:rsidRPr="008D5937">
        <w:rPr>
          <w:szCs w:val="22"/>
        </w:rPr>
        <w:t xml:space="preserve"> Decreto Distrital</w:t>
      </w:r>
      <w:r w:rsidR="009B0877">
        <w:rPr>
          <w:szCs w:val="22"/>
        </w:rPr>
        <w:t xml:space="preserve"> 653 de 2025</w:t>
      </w:r>
      <w:r w:rsidR="00D005E0">
        <w:rPr>
          <w:szCs w:val="22"/>
        </w:rPr>
        <w:t xml:space="preserve">, </w:t>
      </w:r>
      <w:r>
        <w:rPr>
          <w:szCs w:val="22"/>
        </w:rPr>
        <w:t xml:space="preserve">los </w:t>
      </w:r>
      <w:r w:rsidRPr="008D5937">
        <w:rPr>
          <w:szCs w:val="22"/>
        </w:rPr>
        <w:t>Acuerdo</w:t>
      </w:r>
      <w:r>
        <w:rPr>
          <w:szCs w:val="22"/>
        </w:rPr>
        <w:t>s</w:t>
      </w:r>
      <w:r w:rsidRPr="008D5937">
        <w:rPr>
          <w:szCs w:val="22"/>
        </w:rPr>
        <w:t xml:space="preserve"> Distrital</w:t>
      </w:r>
      <w:r>
        <w:rPr>
          <w:szCs w:val="22"/>
        </w:rPr>
        <w:t>es</w:t>
      </w:r>
      <w:r w:rsidRPr="008D5937">
        <w:rPr>
          <w:szCs w:val="22"/>
        </w:rPr>
        <w:t xml:space="preserve"> 079 de 2003 y 735 de 2019 y demás normas concordantes, y,</w:t>
      </w:r>
    </w:p>
    <w:p w14:paraId="1D2D0A2C" w14:textId="77777777" w:rsidR="003A2C21" w:rsidRPr="008D5937" w:rsidRDefault="003A2C21" w:rsidP="003A2C21">
      <w:pPr>
        <w:jc w:val="center"/>
        <w:rPr>
          <w:rFonts w:ascii="Arial" w:hAnsi="Arial" w:cs="Arial"/>
          <w:b/>
          <w:bCs/>
          <w:sz w:val="22"/>
          <w:szCs w:val="22"/>
        </w:rPr>
      </w:pPr>
    </w:p>
    <w:p w14:paraId="63EC000A" w14:textId="77777777" w:rsidR="003A2C21" w:rsidRPr="008D5937" w:rsidRDefault="003A2C21" w:rsidP="003A2C21">
      <w:pPr>
        <w:jc w:val="center"/>
        <w:rPr>
          <w:rFonts w:ascii="Arial" w:hAnsi="Arial" w:cs="Arial"/>
          <w:i/>
          <w:sz w:val="22"/>
          <w:szCs w:val="22"/>
        </w:rPr>
      </w:pPr>
      <w:r w:rsidRPr="008D5937">
        <w:rPr>
          <w:rFonts w:ascii="Arial" w:hAnsi="Arial" w:cs="Arial"/>
          <w:b/>
          <w:bCs/>
          <w:sz w:val="22"/>
          <w:szCs w:val="22"/>
        </w:rPr>
        <w:t>CONSIDERANDO</w:t>
      </w:r>
    </w:p>
    <w:p w14:paraId="6FCA7977" w14:textId="77777777" w:rsidR="003A2C21" w:rsidRPr="008D5937" w:rsidRDefault="003A2C21" w:rsidP="003A2C21">
      <w:pPr>
        <w:jc w:val="both"/>
        <w:rPr>
          <w:rFonts w:ascii="Arial" w:hAnsi="Arial" w:cs="Arial"/>
          <w:sz w:val="22"/>
          <w:szCs w:val="22"/>
        </w:rPr>
      </w:pPr>
    </w:p>
    <w:p w14:paraId="45A2B168" w14:textId="2DA6F07F" w:rsidR="003A2C21" w:rsidRDefault="003A2C21" w:rsidP="003A2C21">
      <w:pPr>
        <w:widowControl w:val="0"/>
        <w:pBdr>
          <w:top w:val="nil"/>
          <w:left w:val="nil"/>
          <w:bottom w:val="nil"/>
          <w:right w:val="nil"/>
          <w:between w:val="nil"/>
        </w:pBdr>
        <w:jc w:val="both"/>
        <w:rPr>
          <w:rFonts w:ascii="Arial" w:eastAsia="Arial" w:hAnsi="Arial" w:cs="Arial"/>
          <w:color w:val="000000"/>
          <w:sz w:val="22"/>
          <w:szCs w:val="22"/>
        </w:rPr>
      </w:pPr>
      <w:bookmarkStart w:id="0" w:name="_Hlk14673990"/>
      <w:r w:rsidRPr="008D5937">
        <w:rPr>
          <w:rFonts w:ascii="Arial" w:eastAsia="Tahoma" w:hAnsi="Arial" w:cs="Arial"/>
          <w:sz w:val="22"/>
          <w:szCs w:val="22"/>
        </w:rPr>
        <w:t xml:space="preserve">Que la </w:t>
      </w:r>
      <w:r w:rsidR="007551A4">
        <w:rPr>
          <w:rFonts w:ascii="Arial" w:eastAsia="Tahoma" w:hAnsi="Arial" w:cs="Arial"/>
          <w:sz w:val="22"/>
          <w:szCs w:val="22"/>
        </w:rPr>
        <w:t>Dirección</w:t>
      </w:r>
      <w:r w:rsidRPr="008D5937">
        <w:rPr>
          <w:rFonts w:ascii="Arial" w:eastAsia="Tahoma" w:hAnsi="Arial" w:cs="Arial"/>
          <w:sz w:val="22"/>
          <w:szCs w:val="22"/>
        </w:rPr>
        <w:t xml:space="preserve"> de Investigaciones y Control de Vivienda de la Subsecretaría de Inspección, Vigilancia y Control de Vivienda de </w:t>
      </w:r>
      <w:r>
        <w:rPr>
          <w:rFonts w:ascii="Arial" w:eastAsia="Tahoma" w:hAnsi="Arial" w:cs="Arial"/>
          <w:sz w:val="22"/>
          <w:szCs w:val="22"/>
        </w:rPr>
        <w:t>la</w:t>
      </w:r>
      <w:r w:rsidRPr="008D5937">
        <w:rPr>
          <w:rFonts w:ascii="Arial" w:eastAsia="Tahoma" w:hAnsi="Arial" w:cs="Arial"/>
          <w:sz w:val="22"/>
          <w:szCs w:val="22"/>
        </w:rPr>
        <w:t xml:space="preserve"> Secretaría</w:t>
      </w:r>
      <w:r>
        <w:rPr>
          <w:rFonts w:ascii="Arial" w:eastAsia="Tahoma" w:hAnsi="Arial" w:cs="Arial"/>
          <w:sz w:val="22"/>
          <w:szCs w:val="22"/>
        </w:rPr>
        <w:t xml:space="preserve"> Distrital del Hábitat, en el marco de sus competencias, y de conformidad con el Decreto 572 de 2015</w:t>
      </w:r>
      <w:r w:rsidR="009B0877">
        <w:rPr>
          <w:rFonts w:ascii="Arial" w:eastAsia="Tahoma" w:hAnsi="Arial" w:cs="Arial"/>
          <w:sz w:val="22"/>
          <w:szCs w:val="22"/>
        </w:rPr>
        <w:t xml:space="preserve"> hoy Decreto 653 de 2025</w:t>
      </w:r>
      <w:r>
        <w:rPr>
          <w:rFonts w:ascii="Arial" w:eastAsia="Tahoma" w:hAnsi="Arial" w:cs="Arial"/>
          <w:sz w:val="22"/>
          <w:szCs w:val="22"/>
        </w:rPr>
        <w:t xml:space="preserve">, </w:t>
      </w:r>
      <w:r w:rsidR="00664AA4" w:rsidRPr="001F0FF1">
        <w:rPr>
          <w:rFonts w:ascii="Arial" w:hAnsi="Arial" w:cs="Arial"/>
          <w:color w:val="000000"/>
          <w:sz w:val="22"/>
          <w:szCs w:val="22"/>
        </w:rPr>
        <w:t xml:space="preserve">conoció la queja presentada por </w:t>
      </w:r>
      <w:r w:rsidR="00B659F1">
        <w:rPr>
          <w:rFonts w:ascii="Arial" w:hAnsi="Arial" w:cs="Arial"/>
          <w:color w:val="000000"/>
          <w:sz w:val="22"/>
          <w:szCs w:val="22"/>
        </w:rPr>
        <w:t>el señor JOSE LEONIDAS GOMEZ MESA</w:t>
      </w:r>
      <w:r w:rsidR="00664AA4" w:rsidRPr="001F0FF1">
        <w:rPr>
          <w:rFonts w:ascii="Arial" w:hAnsi="Arial" w:cs="Arial"/>
          <w:color w:val="000000"/>
          <w:sz w:val="22"/>
          <w:szCs w:val="22"/>
        </w:rPr>
        <w:t xml:space="preserve">, en calidad </w:t>
      </w:r>
      <w:r w:rsidR="00664AA4">
        <w:rPr>
          <w:rFonts w:ascii="Arial" w:hAnsi="Arial" w:cs="Arial"/>
          <w:color w:val="000000"/>
          <w:sz w:val="22"/>
          <w:szCs w:val="22"/>
        </w:rPr>
        <w:t xml:space="preserve">de </w:t>
      </w:r>
      <w:r w:rsidR="00B659F1">
        <w:rPr>
          <w:rFonts w:ascii="Arial" w:hAnsi="Arial" w:cs="Arial"/>
          <w:color w:val="000000"/>
          <w:sz w:val="22"/>
          <w:szCs w:val="22"/>
        </w:rPr>
        <w:t xml:space="preserve">administrador </w:t>
      </w:r>
      <w:r w:rsidR="00664AA4" w:rsidRPr="001F0FF1">
        <w:rPr>
          <w:rFonts w:ascii="Arial" w:hAnsi="Arial" w:cs="Arial"/>
          <w:color w:val="000000"/>
          <w:sz w:val="22"/>
          <w:szCs w:val="22"/>
        </w:rPr>
        <w:t xml:space="preserve">del proyecto de vivienda </w:t>
      </w:r>
      <w:r w:rsidR="00B659F1">
        <w:rPr>
          <w:rFonts w:ascii="Arial" w:hAnsi="Arial" w:cs="Arial"/>
          <w:color w:val="000000"/>
          <w:sz w:val="22"/>
          <w:szCs w:val="22"/>
        </w:rPr>
        <w:t>EDIFICIO SAN NICOLAS PLAZA - PROPIEDAD HORIZONTAL</w:t>
      </w:r>
      <w:r w:rsidR="00664AA4" w:rsidRPr="001F0FF1">
        <w:rPr>
          <w:rFonts w:ascii="Arial" w:hAnsi="Arial" w:cs="Arial"/>
          <w:color w:val="000000"/>
          <w:sz w:val="22"/>
          <w:szCs w:val="22"/>
        </w:rPr>
        <w:t xml:space="preserve">, ubicado en la </w:t>
      </w:r>
      <w:r w:rsidR="00B659F1">
        <w:rPr>
          <w:rFonts w:ascii="Arial" w:hAnsi="Arial" w:cs="Arial"/>
          <w:color w:val="000000"/>
          <w:sz w:val="22"/>
          <w:szCs w:val="22"/>
        </w:rPr>
        <w:t>Carrera 38 No. 56 - 47</w:t>
      </w:r>
      <w:r w:rsidR="00664AA4" w:rsidRPr="001F0FF1">
        <w:rPr>
          <w:rFonts w:ascii="Arial" w:hAnsi="Arial" w:cs="Arial"/>
          <w:color w:val="000000"/>
          <w:sz w:val="22"/>
          <w:szCs w:val="22"/>
        </w:rPr>
        <w:t xml:space="preserve"> de esta ciudad, por las presuntas irregularidades existentes en las zonas </w:t>
      </w:r>
      <w:r w:rsidR="00B659F1">
        <w:rPr>
          <w:rFonts w:ascii="Arial" w:hAnsi="Arial" w:cs="Arial"/>
          <w:color w:val="000000"/>
          <w:sz w:val="22"/>
          <w:szCs w:val="22"/>
        </w:rPr>
        <w:t xml:space="preserve">comunes </w:t>
      </w:r>
      <w:r w:rsidR="00664AA4" w:rsidRPr="001F0FF1">
        <w:rPr>
          <w:rFonts w:ascii="Arial" w:hAnsi="Arial" w:cs="Arial"/>
          <w:color w:val="000000"/>
          <w:sz w:val="22"/>
          <w:szCs w:val="22"/>
        </w:rPr>
        <w:t>del citado inmueble</w:t>
      </w:r>
      <w:r w:rsidRPr="00775226">
        <w:rPr>
          <w:rFonts w:ascii="Arial" w:eastAsia="Arial" w:hAnsi="Arial" w:cs="Arial"/>
          <w:color w:val="000000"/>
          <w:sz w:val="22"/>
          <w:szCs w:val="22"/>
        </w:rPr>
        <w:t xml:space="preserve">, contra la sociedad enajenadora </w:t>
      </w:r>
      <w:r w:rsidR="00020629">
        <w:rPr>
          <w:rFonts w:ascii="Arial" w:eastAsia="Arial" w:hAnsi="Arial" w:cs="Arial"/>
          <w:color w:val="000000"/>
          <w:sz w:val="22"/>
          <w:szCs w:val="22"/>
        </w:rPr>
        <w:t xml:space="preserve">INTERPANEL S.A. ahora </w:t>
      </w:r>
      <w:r w:rsidR="00B659F1">
        <w:rPr>
          <w:rFonts w:ascii="Arial" w:eastAsia="Arial" w:hAnsi="Arial" w:cs="Arial"/>
          <w:color w:val="000000"/>
          <w:sz w:val="22"/>
          <w:szCs w:val="22"/>
        </w:rPr>
        <w:t>INTERPANEL S.A.S.</w:t>
      </w:r>
      <w:r w:rsidRPr="00775226">
        <w:rPr>
          <w:rFonts w:ascii="Arial" w:eastAsia="Arial" w:hAnsi="Arial" w:cs="Arial"/>
          <w:color w:val="000000"/>
          <w:sz w:val="22"/>
          <w:szCs w:val="22"/>
        </w:rPr>
        <w:t xml:space="preserve">, con NIT </w:t>
      </w:r>
      <w:r w:rsidR="00B659F1">
        <w:rPr>
          <w:rFonts w:ascii="Arial" w:eastAsia="Arial" w:hAnsi="Arial" w:cs="Arial"/>
          <w:color w:val="000000"/>
          <w:sz w:val="22"/>
          <w:szCs w:val="22"/>
        </w:rPr>
        <w:t>900.167.070-8</w:t>
      </w:r>
      <w:r w:rsidRPr="00775226">
        <w:rPr>
          <w:rFonts w:ascii="Arial" w:eastAsia="Arial" w:hAnsi="Arial" w:cs="Arial"/>
          <w:color w:val="000000"/>
          <w:sz w:val="22"/>
          <w:szCs w:val="22"/>
        </w:rPr>
        <w:t xml:space="preserve">, representada legalmente por el señor </w:t>
      </w:r>
      <w:r w:rsidR="00B659F1">
        <w:rPr>
          <w:rFonts w:ascii="Arial" w:eastAsia="Arial" w:hAnsi="Arial" w:cs="Arial"/>
          <w:color w:val="000000"/>
          <w:sz w:val="22"/>
          <w:szCs w:val="22"/>
        </w:rPr>
        <w:t>JUAN DIEGO ZULUAGA RAMIREZ</w:t>
      </w:r>
      <w:r w:rsidRPr="00775226">
        <w:rPr>
          <w:rFonts w:ascii="Arial" w:eastAsia="Arial" w:hAnsi="Arial" w:cs="Arial"/>
          <w:color w:val="000000"/>
          <w:sz w:val="22"/>
          <w:szCs w:val="22"/>
        </w:rPr>
        <w:t xml:space="preserve"> o quien haga sus veces, actuación a la que le correspondió el radicado No.</w:t>
      </w:r>
      <w:r w:rsidR="00664AA4" w:rsidRPr="001F0FF1">
        <w:rPr>
          <w:rFonts w:ascii="Arial" w:hAnsi="Arial" w:cs="Arial"/>
          <w:color w:val="000000"/>
          <w:sz w:val="22"/>
          <w:szCs w:val="22"/>
        </w:rPr>
        <w:t>1-201</w:t>
      </w:r>
      <w:r w:rsidR="00B659F1">
        <w:rPr>
          <w:rFonts w:ascii="Arial" w:hAnsi="Arial" w:cs="Arial"/>
          <w:color w:val="000000"/>
          <w:sz w:val="22"/>
          <w:szCs w:val="22"/>
        </w:rPr>
        <w:t>3-66283</w:t>
      </w:r>
      <w:r w:rsidRPr="00775226">
        <w:rPr>
          <w:rFonts w:ascii="Arial" w:eastAsia="Arial" w:hAnsi="Arial" w:cs="Arial"/>
          <w:color w:val="000000"/>
          <w:sz w:val="22"/>
          <w:szCs w:val="22"/>
        </w:rPr>
        <w:t>.</w:t>
      </w:r>
    </w:p>
    <w:p w14:paraId="0D7CC145" w14:textId="77777777" w:rsidR="003A2C21" w:rsidRDefault="003A2C21" w:rsidP="003A2C21">
      <w:pPr>
        <w:widowControl w:val="0"/>
        <w:pBdr>
          <w:top w:val="nil"/>
          <w:left w:val="nil"/>
          <w:bottom w:val="nil"/>
          <w:right w:val="nil"/>
          <w:between w:val="nil"/>
        </w:pBdr>
        <w:jc w:val="both"/>
        <w:rPr>
          <w:rFonts w:ascii="Arial" w:eastAsia="Arial" w:hAnsi="Arial" w:cs="Arial"/>
          <w:color w:val="000000"/>
          <w:sz w:val="22"/>
          <w:szCs w:val="22"/>
        </w:rPr>
      </w:pPr>
    </w:p>
    <w:p w14:paraId="060F296B" w14:textId="3361ECD3" w:rsidR="003A2C21" w:rsidRPr="008D5937" w:rsidRDefault="003A2C21" w:rsidP="003A2C21">
      <w:pPr>
        <w:jc w:val="both"/>
        <w:rPr>
          <w:rFonts w:ascii="Arial" w:eastAsia="Tahoma" w:hAnsi="Arial" w:cs="Arial"/>
          <w:sz w:val="22"/>
          <w:szCs w:val="22"/>
        </w:rPr>
      </w:pPr>
      <w:r>
        <w:rPr>
          <w:rFonts w:ascii="Arial" w:eastAsia="Arial" w:hAnsi="Arial" w:cs="Arial"/>
          <w:color w:val="000000"/>
          <w:sz w:val="22"/>
          <w:szCs w:val="22"/>
        </w:rPr>
        <w:t>Que e</w:t>
      </w:r>
      <w:r w:rsidRPr="00775226">
        <w:rPr>
          <w:rFonts w:ascii="Arial" w:eastAsia="Arial" w:hAnsi="Arial" w:cs="Arial"/>
          <w:color w:val="000000"/>
          <w:sz w:val="22"/>
          <w:szCs w:val="22"/>
        </w:rPr>
        <w:t xml:space="preserve">sta </w:t>
      </w:r>
      <w:bookmarkStart w:id="1" w:name="_Hlk214029240"/>
      <w:r w:rsidR="00D005E0">
        <w:rPr>
          <w:rFonts w:ascii="Arial" w:eastAsia="Arial" w:hAnsi="Arial" w:cs="Arial"/>
          <w:color w:val="000000"/>
          <w:sz w:val="22"/>
          <w:szCs w:val="22"/>
        </w:rPr>
        <w:t>Dirección</w:t>
      </w:r>
      <w:bookmarkEnd w:id="1"/>
      <w:r w:rsidRPr="00775226">
        <w:rPr>
          <w:rFonts w:ascii="Arial" w:eastAsia="Arial" w:hAnsi="Arial" w:cs="Arial"/>
          <w:color w:val="000000"/>
          <w:sz w:val="22"/>
          <w:szCs w:val="22"/>
        </w:rPr>
        <w:t>,</w:t>
      </w:r>
      <w:r w:rsidRPr="00775226">
        <w:rPr>
          <w:rFonts w:ascii="Arial" w:eastAsia="Arial" w:hAnsi="Arial" w:cs="Arial"/>
          <w:sz w:val="22"/>
          <w:szCs w:val="22"/>
        </w:rPr>
        <w:t xml:space="preserve"> mediante</w:t>
      </w:r>
      <w:r w:rsidRPr="008D5937">
        <w:rPr>
          <w:rFonts w:ascii="Arial" w:eastAsia="Tahoma" w:hAnsi="Arial" w:cs="Arial"/>
          <w:sz w:val="22"/>
          <w:szCs w:val="22"/>
        </w:rPr>
        <w:t xml:space="preserve"> </w:t>
      </w:r>
      <w:r w:rsidRPr="005E2D6B">
        <w:rPr>
          <w:rFonts w:ascii="Arial" w:eastAsia="Tahoma" w:hAnsi="Arial" w:cs="Arial"/>
          <w:sz w:val="22"/>
          <w:szCs w:val="22"/>
        </w:rPr>
        <w:t>Resolución No.</w:t>
      </w:r>
      <w:r w:rsidR="00022ADA">
        <w:rPr>
          <w:rFonts w:ascii="Arial" w:eastAsia="Tahoma" w:hAnsi="Arial" w:cs="Arial"/>
          <w:sz w:val="22"/>
          <w:szCs w:val="22"/>
        </w:rPr>
        <w:t>2609 del 28 de septiembre de 2016</w:t>
      </w:r>
      <w:r w:rsidRPr="008D5937">
        <w:rPr>
          <w:rFonts w:ascii="Arial" w:eastAsia="Tahoma" w:hAnsi="Arial" w:cs="Arial"/>
          <w:sz w:val="22"/>
          <w:szCs w:val="22"/>
        </w:rPr>
        <w:t>, impuso a la</w:t>
      </w:r>
      <w:r w:rsidR="00E31CC5">
        <w:rPr>
          <w:rFonts w:ascii="Arial" w:eastAsia="Tahoma" w:hAnsi="Arial" w:cs="Arial"/>
          <w:sz w:val="22"/>
          <w:szCs w:val="22"/>
        </w:rPr>
        <w:t xml:space="preserve"> enajenadora</w:t>
      </w:r>
      <w:r w:rsidRPr="008D5937">
        <w:rPr>
          <w:rFonts w:ascii="Arial" w:eastAsia="Tahoma" w:hAnsi="Arial" w:cs="Arial"/>
          <w:sz w:val="22"/>
          <w:szCs w:val="22"/>
        </w:rPr>
        <w:t xml:space="preserve"> </w:t>
      </w:r>
      <w:r w:rsidR="00022ADA">
        <w:rPr>
          <w:rFonts w:ascii="Arial" w:eastAsia="Arial" w:hAnsi="Arial" w:cs="Arial"/>
          <w:color w:val="000000"/>
          <w:sz w:val="22"/>
          <w:szCs w:val="22"/>
        </w:rPr>
        <w:t>INTERPANEL S.A.S.</w:t>
      </w:r>
      <w:r w:rsidRPr="005E2D6B">
        <w:rPr>
          <w:rFonts w:ascii="Arial" w:eastAsia="Tahoma" w:hAnsi="Arial" w:cs="Arial"/>
          <w:sz w:val="22"/>
          <w:szCs w:val="22"/>
        </w:rPr>
        <w:t xml:space="preserve">, con NIT </w:t>
      </w:r>
      <w:r w:rsidR="00B659F1">
        <w:rPr>
          <w:rFonts w:ascii="Arial" w:eastAsia="Tahoma" w:hAnsi="Arial" w:cs="Arial"/>
          <w:sz w:val="22"/>
          <w:szCs w:val="22"/>
        </w:rPr>
        <w:t>900.167.070-8</w:t>
      </w:r>
      <w:r w:rsidRPr="008D5937">
        <w:rPr>
          <w:rFonts w:ascii="Arial" w:eastAsia="Tahoma" w:hAnsi="Arial" w:cs="Arial"/>
          <w:sz w:val="22"/>
          <w:szCs w:val="22"/>
        </w:rPr>
        <w:t xml:space="preserve">, multa por valor de </w:t>
      </w:r>
      <w:r w:rsidR="00022ADA">
        <w:rPr>
          <w:rFonts w:ascii="Arial" w:eastAsia="Tahoma" w:hAnsi="Arial" w:cs="Arial"/>
          <w:sz w:val="22"/>
          <w:szCs w:val="22"/>
        </w:rPr>
        <w:t xml:space="preserve">CIENTO SESENTA Y UN MIL SETECIENTOS CUARENTA Y DOS </w:t>
      </w:r>
      <w:r w:rsidR="009B63A4" w:rsidRPr="001F0FF1">
        <w:rPr>
          <w:rFonts w:ascii="Arial" w:hAnsi="Arial" w:cs="Arial"/>
          <w:sz w:val="22"/>
          <w:szCs w:val="22"/>
        </w:rPr>
        <w:t>PESOS ($</w:t>
      </w:r>
      <w:r w:rsidR="00022ADA">
        <w:rPr>
          <w:rFonts w:ascii="Arial" w:hAnsi="Arial" w:cs="Arial"/>
          <w:sz w:val="22"/>
          <w:szCs w:val="22"/>
        </w:rPr>
        <w:t>161.742</w:t>
      </w:r>
      <w:r w:rsidR="009B63A4" w:rsidRPr="001F0FF1">
        <w:rPr>
          <w:rFonts w:ascii="Arial" w:hAnsi="Arial" w:cs="Arial"/>
          <w:sz w:val="22"/>
          <w:szCs w:val="22"/>
        </w:rPr>
        <w:t xml:space="preserve">) M/CTE., que indexados a la fecha de expedición del acto administrativo correspondían a la suma de </w:t>
      </w:r>
      <w:r w:rsidR="00022ADA">
        <w:rPr>
          <w:rFonts w:ascii="Arial" w:hAnsi="Arial" w:cs="Arial"/>
          <w:sz w:val="22"/>
          <w:szCs w:val="22"/>
        </w:rPr>
        <w:t xml:space="preserve">VEINTIÚN MILLONES NOVECIENTOS SESENTA Y DOS MIL QUINIENTOS TREINTA Y DOS </w:t>
      </w:r>
      <w:r w:rsidR="009B63A4" w:rsidRPr="001F0FF1">
        <w:rPr>
          <w:rFonts w:ascii="Arial" w:hAnsi="Arial" w:cs="Arial"/>
          <w:sz w:val="22"/>
          <w:szCs w:val="22"/>
        </w:rPr>
        <w:t>PESOS ($</w:t>
      </w:r>
      <w:r w:rsidR="00022ADA">
        <w:rPr>
          <w:rFonts w:ascii="Arial" w:hAnsi="Arial" w:cs="Arial"/>
          <w:sz w:val="22"/>
          <w:szCs w:val="22"/>
        </w:rPr>
        <w:t>21.962.532</w:t>
      </w:r>
      <w:r w:rsidR="009B63A4" w:rsidRPr="001F0FF1">
        <w:rPr>
          <w:rFonts w:ascii="Arial" w:hAnsi="Arial" w:cs="Arial"/>
          <w:sz w:val="22"/>
          <w:szCs w:val="22"/>
        </w:rPr>
        <w:t>) M/CTE</w:t>
      </w:r>
      <w:r w:rsidRPr="008D5937">
        <w:rPr>
          <w:rFonts w:ascii="Arial" w:eastAsia="Tahoma" w:hAnsi="Arial" w:cs="Arial"/>
          <w:sz w:val="22"/>
          <w:szCs w:val="22"/>
        </w:rPr>
        <w:t>.</w:t>
      </w:r>
    </w:p>
    <w:bookmarkEnd w:id="0"/>
    <w:p w14:paraId="0EB4ADF0" w14:textId="77777777" w:rsidR="003A2C21" w:rsidRPr="008D5937" w:rsidRDefault="003A2C21" w:rsidP="003A2C21">
      <w:pPr>
        <w:jc w:val="both"/>
        <w:rPr>
          <w:rFonts w:ascii="Arial" w:eastAsia="Tahoma" w:hAnsi="Arial" w:cs="Arial"/>
          <w:sz w:val="22"/>
          <w:szCs w:val="22"/>
        </w:rPr>
      </w:pPr>
    </w:p>
    <w:p w14:paraId="44818F47" w14:textId="77777777" w:rsidR="003A2C21" w:rsidRDefault="003A2C21" w:rsidP="003A2C21">
      <w:pPr>
        <w:jc w:val="both"/>
        <w:rPr>
          <w:rFonts w:ascii="Arial" w:hAnsi="Arial" w:cs="Arial"/>
          <w:sz w:val="22"/>
          <w:szCs w:val="22"/>
        </w:rPr>
      </w:pPr>
      <w:r w:rsidRPr="008D5937">
        <w:rPr>
          <w:rFonts w:ascii="Arial" w:hAnsi="Arial" w:cs="Arial"/>
          <w:sz w:val="22"/>
          <w:szCs w:val="22"/>
        </w:rPr>
        <w:t xml:space="preserve">Que así mismo, en el mencionado acto, se ordenó a la sociedad enajenadora: </w:t>
      </w:r>
    </w:p>
    <w:p w14:paraId="39626E63" w14:textId="77777777" w:rsidR="003A2C21" w:rsidRPr="008D5937" w:rsidRDefault="003A2C21" w:rsidP="003A2C21">
      <w:pPr>
        <w:jc w:val="both"/>
        <w:rPr>
          <w:rFonts w:ascii="Arial" w:hAnsi="Arial" w:cs="Arial"/>
          <w:sz w:val="22"/>
          <w:szCs w:val="22"/>
        </w:rPr>
      </w:pPr>
    </w:p>
    <w:p w14:paraId="10318C68" w14:textId="6435D5CB" w:rsidR="003A2C21" w:rsidRPr="008D5937" w:rsidRDefault="003A2C21" w:rsidP="003A2C21">
      <w:pPr>
        <w:ind w:left="708"/>
        <w:jc w:val="both"/>
        <w:rPr>
          <w:rFonts w:ascii="Arial" w:eastAsia="Tahoma" w:hAnsi="Arial" w:cs="Arial"/>
          <w:i/>
          <w:iCs/>
          <w:sz w:val="22"/>
          <w:szCs w:val="22"/>
        </w:rPr>
      </w:pPr>
      <w:r w:rsidRPr="008D5937">
        <w:rPr>
          <w:rFonts w:ascii="Arial" w:hAnsi="Arial" w:cs="Arial"/>
          <w:i/>
          <w:iCs/>
          <w:sz w:val="22"/>
          <w:szCs w:val="22"/>
        </w:rPr>
        <w:t>“</w:t>
      </w:r>
      <w:bookmarkStart w:id="2" w:name="_Hlk164257990"/>
      <w:bookmarkStart w:id="3" w:name="_Hlk164348972"/>
      <w:r w:rsidRPr="008D5937">
        <w:rPr>
          <w:rFonts w:ascii="Arial" w:hAnsi="Arial" w:cs="Arial"/>
          <w:b/>
          <w:i/>
          <w:sz w:val="22"/>
          <w:szCs w:val="22"/>
        </w:rPr>
        <w:t xml:space="preserve">ARTÍCULO SEGUNDO: </w:t>
      </w:r>
      <w:r w:rsidR="00020629" w:rsidRPr="00020629">
        <w:rPr>
          <w:rFonts w:ascii="Arial" w:hAnsi="Arial" w:cs="Arial"/>
          <w:bCs/>
          <w:i/>
          <w:sz w:val="22"/>
          <w:szCs w:val="22"/>
        </w:rPr>
        <w:t>Requerir a la sociedad INTERPANEL S.A. identificada con Nit. 900.167.070-8, representada legalmente por el señor JUAN DIEGO ZULUAGA RAMÍREZ, o quien haga sus veces, para que dentro de los tres (3) meses (calendario) siguientes a la ejecutoria del presente acto, se acoja a la normatividad infringida, para lo cual deberá realizar los trabajos tendientes a solucionar en forma definitiva los hechos que afectan las zonas comunes del proyecto de vivienda EDIFICIO SAN NICOLAS PLAZA P.H., referentes a: 2- A. (...) NO EXISTE LA INSTALACIÓN DE BARANDA, O MEDIO QUE GARANTICE LA SEGURIDAD DE LAS PERSONAS QUE UTILIZAN EL ÁREA Y/O REALIZAN MANTENIMIENTO A ESTA ZONA. B. MANTO: EN LA VISITA EFECTUADA, SE OBSERVA QUE EL MANTO INSTALADO EN LA CUBIERTA, PRESENTA DETERIORO PREMATURO, (...). C. SIFONES: SE OBSERVAN SIFONES EN EL ÁREA DE CUBIERTA LOS CUALES NO CUENTAN CON REJILLA DE PROTECCIÓN(...)";</w:t>
      </w:r>
      <w:r w:rsidR="00020629">
        <w:rPr>
          <w:rFonts w:ascii="Arial" w:hAnsi="Arial" w:cs="Arial"/>
          <w:bCs/>
          <w:i/>
          <w:sz w:val="22"/>
          <w:szCs w:val="22"/>
        </w:rPr>
        <w:t xml:space="preserve"> </w:t>
      </w:r>
      <w:r w:rsidR="00020629" w:rsidRPr="00020629">
        <w:rPr>
          <w:rFonts w:ascii="Arial" w:hAnsi="Arial" w:cs="Arial"/>
          <w:bCs/>
          <w:i/>
          <w:sz w:val="22"/>
          <w:szCs w:val="22"/>
        </w:rPr>
        <w:t xml:space="preserve">"7. EMPOZAMIENTO DE AGUA EN AISLAMIENTO POSTERIOR PRIMER PISO..."; </w:t>
      </w:r>
      <w:r w:rsidR="00020629" w:rsidRPr="00020629">
        <w:rPr>
          <w:rFonts w:ascii="Arial" w:hAnsi="Arial" w:cs="Arial"/>
          <w:bCs/>
          <w:i/>
          <w:sz w:val="22"/>
          <w:szCs w:val="22"/>
        </w:rPr>
        <w:lastRenderedPageBreak/>
        <w:t>"8- HUMEDAD EN TECHO SÓTANOS..."; "9. SUPERFICIE LISA EN ESCALERA DE ACCESO DESDE RECEPCIÓN AL SEGUNDO PISO..."; "10- ACCESO A DISCAPACITADOS..."; y "13- CUARTO DE BASURAS", especificados en los informes técnicos No. 14-032 del 21 de ENERO del 2014 (folios 322 a 328) y No. 16-540 del 27 de ABRIL del 2016 (folios 428 A 432), que recogen lo evidenciado en las visitas técnicas del 13 de enero de 2014 y 20 de abril de 2016.</w:t>
      </w:r>
    </w:p>
    <w:p w14:paraId="57E42D59" w14:textId="77777777" w:rsidR="003A2C21" w:rsidRPr="008D5937" w:rsidRDefault="003A2C21" w:rsidP="003A2C21">
      <w:pPr>
        <w:ind w:left="708"/>
        <w:jc w:val="both"/>
        <w:rPr>
          <w:rFonts w:ascii="Arial" w:eastAsia="Tahoma" w:hAnsi="Arial" w:cs="Arial"/>
          <w:i/>
          <w:iCs/>
          <w:sz w:val="22"/>
          <w:szCs w:val="22"/>
        </w:rPr>
      </w:pPr>
    </w:p>
    <w:bookmarkEnd w:id="2"/>
    <w:p w14:paraId="67AC98AE" w14:textId="5F389F69" w:rsidR="003A2C21" w:rsidRDefault="003A2C21" w:rsidP="003A2C21">
      <w:pPr>
        <w:ind w:left="708"/>
        <w:jc w:val="both"/>
        <w:rPr>
          <w:rFonts w:ascii="Arial" w:hAnsi="Arial" w:cs="Arial"/>
          <w:i/>
          <w:iCs/>
          <w:sz w:val="22"/>
          <w:szCs w:val="22"/>
          <w:lang w:val="es-CO"/>
        </w:rPr>
      </w:pPr>
      <w:r w:rsidRPr="008D5937">
        <w:rPr>
          <w:rFonts w:ascii="Arial" w:hAnsi="Arial" w:cs="Arial"/>
          <w:b/>
          <w:bCs/>
          <w:i/>
          <w:iCs/>
          <w:sz w:val="22"/>
          <w:szCs w:val="22"/>
          <w:lang w:val="es-CO"/>
        </w:rPr>
        <w:t>ARTÍCULO TERCERO: ORDENAR</w:t>
      </w:r>
      <w:r w:rsidR="00020629" w:rsidRPr="00020629">
        <w:rPr>
          <w:rFonts w:ascii="Arial" w:hAnsi="Arial" w:cs="Arial"/>
          <w:i/>
          <w:iCs/>
          <w:sz w:val="22"/>
          <w:szCs w:val="22"/>
        </w:rPr>
        <w:t xml:space="preserve"> a la sociedad INTERPANEL S.A. identificada con Nit. 900.167.070-8, representada legalmente por el señor JUAN DIEGO ZULUAGA RAMÍREZ</w:t>
      </w:r>
      <w:r w:rsidRPr="008D5937">
        <w:rPr>
          <w:rFonts w:ascii="Arial" w:hAnsi="Arial" w:cs="Arial"/>
          <w:i/>
          <w:iCs/>
          <w:sz w:val="22"/>
          <w:szCs w:val="22"/>
          <w:lang w:val="es-CO"/>
        </w:rPr>
        <w:t xml:space="preserve"> (o quien haga sus veces), para que dentro de los diez (10) días (hábiles) siguientes al cumplimiento del término otorgado en el artículo anterior, acredite ante este Despacho la realización de las labores de corrección sobre el citado hecho.</w:t>
      </w:r>
      <w:bookmarkEnd w:id="3"/>
    </w:p>
    <w:p w14:paraId="636A33E2" w14:textId="77777777" w:rsidR="003A2C21" w:rsidRDefault="003A2C21" w:rsidP="003A2C21">
      <w:pPr>
        <w:ind w:left="708"/>
        <w:jc w:val="both"/>
        <w:rPr>
          <w:rFonts w:ascii="Arial" w:eastAsia="Tahoma" w:hAnsi="Arial" w:cs="Arial"/>
          <w:i/>
          <w:iCs/>
          <w:sz w:val="22"/>
          <w:szCs w:val="22"/>
        </w:rPr>
      </w:pPr>
    </w:p>
    <w:p w14:paraId="7C555BC9" w14:textId="77777777" w:rsidR="003A2C21" w:rsidRPr="005E2D6B" w:rsidRDefault="003A2C21" w:rsidP="003A2C21">
      <w:pPr>
        <w:ind w:left="708"/>
        <w:jc w:val="both"/>
        <w:rPr>
          <w:rFonts w:ascii="Arial" w:hAnsi="Arial" w:cs="Arial"/>
          <w:bCs/>
          <w:i/>
          <w:iCs/>
          <w:color w:val="000000" w:themeColor="text1"/>
          <w:sz w:val="22"/>
          <w:szCs w:val="22"/>
          <w:lang w:val="es-ES"/>
        </w:rPr>
      </w:pPr>
      <w:r w:rsidRPr="00872FA6">
        <w:rPr>
          <w:rFonts w:ascii="Arial" w:hAnsi="Arial" w:cs="Arial"/>
          <w:b/>
          <w:bCs/>
          <w:i/>
          <w:iCs/>
          <w:color w:val="000000" w:themeColor="text1"/>
          <w:sz w:val="22"/>
          <w:szCs w:val="22"/>
          <w:lang w:val="es-ES"/>
        </w:rPr>
        <w:t xml:space="preserve">ARTÍCULO CUARTO: </w:t>
      </w:r>
      <w:r w:rsidRPr="00872FA6">
        <w:rPr>
          <w:rFonts w:ascii="Arial" w:hAnsi="Arial" w:cs="Arial"/>
          <w:bCs/>
          <w:i/>
          <w:iCs/>
          <w:color w:val="000000" w:themeColor="text1"/>
          <w:sz w:val="22"/>
          <w:szCs w:val="22"/>
          <w:lang w:val="es-ES"/>
        </w:rPr>
        <w:t>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2º del Decreto Ley 078 de 1987”.</w:t>
      </w:r>
    </w:p>
    <w:p w14:paraId="71AF236E" w14:textId="77777777" w:rsidR="003A2C21" w:rsidRPr="008D5937" w:rsidRDefault="003A2C21" w:rsidP="003A2C21">
      <w:pPr>
        <w:pStyle w:val="Sinespaciado"/>
        <w:jc w:val="both"/>
        <w:rPr>
          <w:rFonts w:ascii="Arial" w:eastAsia="Tahoma" w:hAnsi="Arial" w:cs="Arial"/>
        </w:rPr>
      </w:pPr>
    </w:p>
    <w:p w14:paraId="44AA962D" w14:textId="440376E2" w:rsidR="00020629" w:rsidRPr="00020629" w:rsidRDefault="00020629" w:rsidP="00020629">
      <w:pPr>
        <w:widowControl w:val="0"/>
        <w:autoSpaceDE w:val="0"/>
        <w:autoSpaceDN w:val="0"/>
        <w:adjustRightInd w:val="0"/>
        <w:ind w:right="-93"/>
        <w:jc w:val="both"/>
        <w:rPr>
          <w:rFonts w:ascii="Arial" w:hAnsi="Arial" w:cs="Arial"/>
          <w:color w:val="000000"/>
          <w:sz w:val="22"/>
          <w:szCs w:val="22"/>
        </w:rPr>
      </w:pPr>
      <w:r w:rsidRPr="00020629">
        <w:rPr>
          <w:rFonts w:ascii="Arial" w:hAnsi="Arial" w:cs="Arial"/>
          <w:color w:val="000000"/>
          <w:sz w:val="22"/>
          <w:szCs w:val="22"/>
        </w:rPr>
        <w:t>Que el enajenador interpuso recurso de reposición en subsidio el de apelación contra la resolución Sanción, resolviéndose el recurso de reposición a través de la Resolución No.248 del 22 de marzo de 2017 "</w:t>
      </w:r>
      <w:r w:rsidRPr="00020629">
        <w:rPr>
          <w:rFonts w:ascii="Arial" w:hAnsi="Arial" w:cs="Arial"/>
          <w:i/>
          <w:iCs/>
          <w:color w:val="000000"/>
          <w:sz w:val="22"/>
          <w:szCs w:val="22"/>
        </w:rPr>
        <w:t>Por la cual se resuelve un recurso de reposición y concede recurso de apelación interpuesto contra la Resolución No. 2609 de 28 de septiembre de 2016</w:t>
      </w:r>
      <w:r w:rsidRPr="00020629">
        <w:rPr>
          <w:rFonts w:ascii="Arial" w:hAnsi="Arial" w:cs="Arial"/>
          <w:color w:val="000000"/>
          <w:sz w:val="22"/>
          <w:szCs w:val="22"/>
        </w:rPr>
        <w:t>", misma que decide rechazar de plano los recursos de reposición y en subsidio apelación y confirmar la resolución sanción.</w:t>
      </w:r>
    </w:p>
    <w:p w14:paraId="3413D632" w14:textId="77777777" w:rsidR="00020629" w:rsidRDefault="00020629" w:rsidP="00020629">
      <w:pPr>
        <w:widowControl w:val="0"/>
        <w:autoSpaceDE w:val="0"/>
        <w:autoSpaceDN w:val="0"/>
        <w:adjustRightInd w:val="0"/>
        <w:ind w:right="-93"/>
        <w:jc w:val="both"/>
        <w:rPr>
          <w:rFonts w:ascii="Arial" w:hAnsi="Arial" w:cs="Arial"/>
          <w:color w:val="000000"/>
          <w:sz w:val="22"/>
          <w:szCs w:val="22"/>
        </w:rPr>
      </w:pPr>
    </w:p>
    <w:p w14:paraId="5F502492" w14:textId="14A25E99" w:rsidR="00020629" w:rsidRPr="00020629" w:rsidRDefault="00020629" w:rsidP="00020629">
      <w:pPr>
        <w:widowControl w:val="0"/>
        <w:autoSpaceDE w:val="0"/>
        <w:autoSpaceDN w:val="0"/>
        <w:adjustRightInd w:val="0"/>
        <w:ind w:right="-93"/>
        <w:jc w:val="both"/>
        <w:rPr>
          <w:rFonts w:ascii="Arial" w:hAnsi="Arial" w:cs="Arial"/>
          <w:color w:val="000000"/>
          <w:sz w:val="22"/>
          <w:szCs w:val="22"/>
        </w:rPr>
      </w:pPr>
      <w:r w:rsidRPr="00020629">
        <w:rPr>
          <w:rFonts w:ascii="Arial" w:hAnsi="Arial" w:cs="Arial"/>
          <w:color w:val="000000"/>
          <w:sz w:val="22"/>
          <w:szCs w:val="22"/>
        </w:rPr>
        <w:t>Que la sociedad enajenadora INTERPANEL S.A.S, a través de comunicación, interpuso recurso de queja en contra la Resolución la resolución sanción, por lo tanto, la Subsecretaría de Inspección Vigilancia y Control de vivienda mediante Resolución No. 1038 del 13 de julio de 2017 "por la cual resuelve recurso de queja" a través del cual decide DESESTIMAR las pretensiones del recurrente y confirmar la Resolución No. 248 de 22 de marzo de 2017 "</w:t>
      </w:r>
      <w:r w:rsidRPr="00020629">
        <w:rPr>
          <w:rFonts w:ascii="Arial" w:hAnsi="Arial" w:cs="Arial"/>
          <w:i/>
          <w:iCs/>
          <w:color w:val="000000"/>
          <w:sz w:val="22"/>
          <w:szCs w:val="22"/>
        </w:rPr>
        <w:t>Por la cual se resuelve un recurso de reposición y concede recurso de apelación interpuesto contra la Resolución No. 2609 de 28 de septiembre de 2016"</w:t>
      </w:r>
      <w:r w:rsidRPr="00020629">
        <w:rPr>
          <w:rFonts w:ascii="Arial" w:hAnsi="Arial" w:cs="Arial"/>
          <w:color w:val="000000"/>
          <w:sz w:val="22"/>
          <w:szCs w:val="22"/>
        </w:rPr>
        <w:t>.</w:t>
      </w:r>
    </w:p>
    <w:p w14:paraId="26127891" w14:textId="77777777" w:rsidR="00020629" w:rsidRDefault="00020629" w:rsidP="00020629">
      <w:pPr>
        <w:widowControl w:val="0"/>
        <w:autoSpaceDE w:val="0"/>
        <w:autoSpaceDN w:val="0"/>
        <w:adjustRightInd w:val="0"/>
        <w:ind w:right="-93"/>
        <w:jc w:val="both"/>
        <w:rPr>
          <w:rFonts w:ascii="Arial" w:hAnsi="Arial" w:cs="Arial"/>
          <w:color w:val="000000"/>
          <w:sz w:val="22"/>
          <w:szCs w:val="22"/>
        </w:rPr>
      </w:pPr>
    </w:p>
    <w:p w14:paraId="2097E848" w14:textId="222F1528" w:rsidR="00020629" w:rsidRPr="00020629" w:rsidRDefault="00020629" w:rsidP="00020629">
      <w:pPr>
        <w:widowControl w:val="0"/>
        <w:autoSpaceDE w:val="0"/>
        <w:autoSpaceDN w:val="0"/>
        <w:adjustRightInd w:val="0"/>
        <w:ind w:right="-93"/>
        <w:jc w:val="both"/>
        <w:rPr>
          <w:rFonts w:ascii="Arial" w:hAnsi="Arial" w:cs="Arial"/>
          <w:color w:val="000000"/>
          <w:sz w:val="22"/>
          <w:szCs w:val="22"/>
        </w:rPr>
      </w:pPr>
      <w:r w:rsidRPr="00020629">
        <w:rPr>
          <w:rFonts w:ascii="Arial" w:hAnsi="Arial" w:cs="Arial"/>
          <w:color w:val="000000"/>
          <w:sz w:val="22"/>
          <w:szCs w:val="22"/>
        </w:rPr>
        <w:t xml:space="preserve">Que, la </w:t>
      </w:r>
      <w:r>
        <w:rPr>
          <w:rFonts w:ascii="Arial" w:hAnsi="Arial" w:cs="Arial"/>
          <w:color w:val="000000"/>
          <w:sz w:val="22"/>
          <w:szCs w:val="22"/>
        </w:rPr>
        <w:t>R</w:t>
      </w:r>
      <w:r w:rsidRPr="00020629">
        <w:rPr>
          <w:rFonts w:ascii="Arial" w:hAnsi="Arial" w:cs="Arial"/>
          <w:color w:val="000000"/>
          <w:sz w:val="22"/>
          <w:szCs w:val="22"/>
        </w:rPr>
        <w:t xml:space="preserve">esolución </w:t>
      </w:r>
      <w:r>
        <w:rPr>
          <w:rFonts w:ascii="Arial" w:hAnsi="Arial" w:cs="Arial"/>
          <w:color w:val="000000"/>
          <w:sz w:val="22"/>
          <w:szCs w:val="22"/>
        </w:rPr>
        <w:t>No.</w:t>
      </w:r>
      <w:r w:rsidRPr="00020629">
        <w:rPr>
          <w:rFonts w:ascii="Arial" w:hAnsi="Arial" w:cs="Arial"/>
          <w:color w:val="000000"/>
          <w:sz w:val="22"/>
          <w:szCs w:val="22"/>
        </w:rPr>
        <w:t xml:space="preserve">2609 del 28 de septiembre de </w:t>
      </w:r>
      <w:r w:rsidRPr="00020629">
        <w:rPr>
          <w:rFonts w:ascii="Arial" w:hAnsi="Arial" w:cs="Arial"/>
          <w:i/>
          <w:iCs/>
          <w:color w:val="000000"/>
          <w:sz w:val="22"/>
          <w:szCs w:val="22"/>
        </w:rPr>
        <w:t>2016 "por la cual se impone una sanción y se imparte una orden"</w:t>
      </w:r>
      <w:r w:rsidRPr="00020629">
        <w:rPr>
          <w:rFonts w:ascii="Arial" w:hAnsi="Arial" w:cs="Arial"/>
          <w:color w:val="000000"/>
          <w:sz w:val="22"/>
          <w:szCs w:val="22"/>
        </w:rPr>
        <w:t>, quedó debidamente ejecutoriada a partir del día nueve (09) de noviembre del 2016, según constancia obrante en el expediente.</w:t>
      </w:r>
    </w:p>
    <w:p w14:paraId="25DDAB5B" w14:textId="77777777" w:rsidR="00020629" w:rsidRDefault="00020629" w:rsidP="00020629">
      <w:pPr>
        <w:widowControl w:val="0"/>
        <w:autoSpaceDE w:val="0"/>
        <w:autoSpaceDN w:val="0"/>
        <w:adjustRightInd w:val="0"/>
        <w:ind w:right="-93"/>
        <w:jc w:val="both"/>
        <w:rPr>
          <w:rFonts w:ascii="Arial" w:hAnsi="Arial" w:cs="Arial"/>
          <w:color w:val="000000"/>
          <w:sz w:val="22"/>
          <w:szCs w:val="22"/>
        </w:rPr>
      </w:pPr>
    </w:p>
    <w:p w14:paraId="7EB6D391" w14:textId="484E47AA" w:rsidR="00020629" w:rsidRPr="00020629" w:rsidRDefault="00020629" w:rsidP="00020629">
      <w:pPr>
        <w:widowControl w:val="0"/>
        <w:autoSpaceDE w:val="0"/>
        <w:autoSpaceDN w:val="0"/>
        <w:adjustRightInd w:val="0"/>
        <w:ind w:right="-93"/>
        <w:jc w:val="both"/>
        <w:rPr>
          <w:rFonts w:ascii="Arial" w:hAnsi="Arial" w:cs="Arial"/>
          <w:color w:val="000000"/>
          <w:sz w:val="22"/>
          <w:szCs w:val="22"/>
        </w:rPr>
      </w:pPr>
      <w:r w:rsidRPr="00020629">
        <w:rPr>
          <w:rFonts w:ascii="Arial" w:hAnsi="Arial" w:cs="Arial"/>
          <w:color w:val="000000"/>
          <w:sz w:val="22"/>
          <w:szCs w:val="22"/>
        </w:rPr>
        <w:t xml:space="preserve">Que la sociedad enajenadora remitió oficio 1-2017-110106 de fecha 28 de diciembre de </w:t>
      </w:r>
      <w:r w:rsidRPr="00020629">
        <w:rPr>
          <w:rFonts w:ascii="Arial" w:hAnsi="Arial" w:cs="Arial"/>
          <w:color w:val="000000"/>
          <w:sz w:val="22"/>
          <w:szCs w:val="22"/>
        </w:rPr>
        <w:lastRenderedPageBreak/>
        <w:t xml:space="preserve">2017, a través del cual manifestó, paz y salvo de los trabajos tendientes a solucionar en forma definitiva los hechos que afectan las zonas comunes del proyecto de vivienda EDIFICIO SAN NICOLAS PLAZA </w:t>
      </w:r>
      <w:r>
        <w:rPr>
          <w:rFonts w:ascii="Arial" w:hAnsi="Arial" w:cs="Arial"/>
          <w:color w:val="000000"/>
          <w:sz w:val="22"/>
          <w:szCs w:val="22"/>
        </w:rPr>
        <w:t xml:space="preserve">– </w:t>
      </w:r>
      <w:r w:rsidRPr="00020629">
        <w:rPr>
          <w:rFonts w:ascii="Arial" w:hAnsi="Arial" w:cs="Arial"/>
          <w:color w:val="000000"/>
          <w:sz w:val="22"/>
          <w:szCs w:val="22"/>
        </w:rPr>
        <w:t>P</w:t>
      </w:r>
      <w:r>
        <w:rPr>
          <w:rFonts w:ascii="Arial" w:hAnsi="Arial" w:cs="Arial"/>
          <w:color w:val="000000"/>
          <w:sz w:val="22"/>
          <w:szCs w:val="22"/>
        </w:rPr>
        <w:t xml:space="preserve">ROPIEDAD </w:t>
      </w:r>
      <w:r w:rsidRPr="00020629">
        <w:rPr>
          <w:rFonts w:ascii="Arial" w:hAnsi="Arial" w:cs="Arial"/>
          <w:color w:val="000000"/>
          <w:sz w:val="22"/>
          <w:szCs w:val="22"/>
        </w:rPr>
        <w:t>H</w:t>
      </w:r>
      <w:r>
        <w:rPr>
          <w:rFonts w:ascii="Arial" w:hAnsi="Arial" w:cs="Arial"/>
          <w:color w:val="000000"/>
          <w:sz w:val="22"/>
          <w:szCs w:val="22"/>
        </w:rPr>
        <w:t>ORIZONTAL</w:t>
      </w:r>
      <w:r w:rsidRPr="00020629">
        <w:rPr>
          <w:rFonts w:ascii="Arial" w:hAnsi="Arial" w:cs="Arial"/>
          <w:color w:val="000000"/>
          <w:sz w:val="22"/>
          <w:szCs w:val="22"/>
        </w:rPr>
        <w:t>.</w:t>
      </w:r>
    </w:p>
    <w:p w14:paraId="7C184142" w14:textId="77777777" w:rsidR="00020629" w:rsidRDefault="00020629" w:rsidP="00020629">
      <w:pPr>
        <w:widowControl w:val="0"/>
        <w:autoSpaceDE w:val="0"/>
        <w:autoSpaceDN w:val="0"/>
        <w:adjustRightInd w:val="0"/>
        <w:ind w:right="-93"/>
        <w:jc w:val="both"/>
        <w:rPr>
          <w:rFonts w:ascii="Arial" w:hAnsi="Arial" w:cs="Arial"/>
          <w:color w:val="000000"/>
          <w:sz w:val="22"/>
          <w:szCs w:val="22"/>
        </w:rPr>
      </w:pPr>
    </w:p>
    <w:p w14:paraId="46DF5178" w14:textId="034B5569" w:rsidR="00020629" w:rsidRPr="00020629" w:rsidRDefault="00020629" w:rsidP="00020629">
      <w:pPr>
        <w:widowControl w:val="0"/>
        <w:autoSpaceDE w:val="0"/>
        <w:autoSpaceDN w:val="0"/>
        <w:adjustRightInd w:val="0"/>
        <w:ind w:right="-93"/>
        <w:jc w:val="both"/>
        <w:rPr>
          <w:rFonts w:ascii="Arial" w:hAnsi="Arial" w:cs="Arial"/>
          <w:color w:val="000000"/>
          <w:sz w:val="22"/>
          <w:szCs w:val="22"/>
        </w:rPr>
      </w:pPr>
      <w:r w:rsidRPr="00020629">
        <w:rPr>
          <w:rFonts w:ascii="Arial" w:hAnsi="Arial" w:cs="Arial"/>
          <w:color w:val="000000"/>
          <w:sz w:val="22"/>
          <w:szCs w:val="22"/>
        </w:rPr>
        <w:t>Que por acta No. 12 de la asamblea de accionistas, del 28 de diciembre de 2017, inscrita el 27 de febrero de 2018 bajo el número 02307104 del libro IX, la sociedad de la referencia se transformó de sociedad anónima a sociedad por acciones simplificada bajo el nombre de: INTERPANEL S.A.S.</w:t>
      </w:r>
    </w:p>
    <w:p w14:paraId="2BAF8822" w14:textId="77777777" w:rsidR="00020629" w:rsidRDefault="00020629" w:rsidP="00020629">
      <w:pPr>
        <w:widowControl w:val="0"/>
        <w:autoSpaceDE w:val="0"/>
        <w:autoSpaceDN w:val="0"/>
        <w:adjustRightInd w:val="0"/>
        <w:ind w:right="-93"/>
        <w:jc w:val="both"/>
        <w:rPr>
          <w:rFonts w:ascii="Arial" w:hAnsi="Arial" w:cs="Arial"/>
          <w:color w:val="000000"/>
          <w:sz w:val="22"/>
          <w:szCs w:val="22"/>
        </w:rPr>
      </w:pPr>
    </w:p>
    <w:p w14:paraId="004542BD" w14:textId="5F156073" w:rsidR="00020629" w:rsidRPr="00020629" w:rsidRDefault="00020629" w:rsidP="00020629">
      <w:pPr>
        <w:widowControl w:val="0"/>
        <w:autoSpaceDE w:val="0"/>
        <w:autoSpaceDN w:val="0"/>
        <w:adjustRightInd w:val="0"/>
        <w:ind w:right="-93"/>
        <w:jc w:val="both"/>
        <w:rPr>
          <w:rFonts w:ascii="Arial" w:hAnsi="Arial" w:cs="Arial"/>
          <w:color w:val="000000"/>
          <w:sz w:val="22"/>
          <w:szCs w:val="22"/>
        </w:rPr>
      </w:pPr>
      <w:r w:rsidRPr="00020629">
        <w:rPr>
          <w:rFonts w:ascii="Arial" w:hAnsi="Arial" w:cs="Arial"/>
          <w:color w:val="000000"/>
          <w:sz w:val="22"/>
          <w:szCs w:val="22"/>
        </w:rPr>
        <w:t xml:space="preserve">Que, continuando con las acciones de seguimiento, este Despacho requirió a la sociedad enajenadora INTERPANEL S.A.S, para que acreditara respecto del cumplimiento de las obligaciones de hacer establecidas en la </w:t>
      </w:r>
      <w:r>
        <w:rPr>
          <w:rFonts w:ascii="Arial" w:hAnsi="Arial" w:cs="Arial"/>
          <w:color w:val="000000"/>
          <w:sz w:val="22"/>
          <w:szCs w:val="22"/>
        </w:rPr>
        <w:t>R</w:t>
      </w:r>
      <w:r w:rsidRPr="00020629">
        <w:rPr>
          <w:rFonts w:ascii="Arial" w:hAnsi="Arial" w:cs="Arial"/>
          <w:color w:val="000000"/>
          <w:sz w:val="22"/>
          <w:szCs w:val="22"/>
        </w:rPr>
        <w:t xml:space="preserve">esolución </w:t>
      </w:r>
      <w:r>
        <w:rPr>
          <w:rFonts w:ascii="Arial" w:hAnsi="Arial" w:cs="Arial"/>
          <w:color w:val="000000"/>
          <w:sz w:val="22"/>
          <w:szCs w:val="22"/>
        </w:rPr>
        <w:t>No.</w:t>
      </w:r>
      <w:r w:rsidRPr="00020629">
        <w:rPr>
          <w:rFonts w:ascii="Arial" w:hAnsi="Arial" w:cs="Arial"/>
          <w:color w:val="000000"/>
          <w:sz w:val="22"/>
          <w:szCs w:val="22"/>
        </w:rPr>
        <w:t xml:space="preserve">2609 del 28 de septiembre de 2016 </w:t>
      </w:r>
      <w:r w:rsidRPr="00020629">
        <w:rPr>
          <w:rFonts w:ascii="Arial" w:hAnsi="Arial" w:cs="Arial"/>
          <w:i/>
          <w:iCs/>
          <w:color w:val="000000"/>
          <w:sz w:val="22"/>
          <w:szCs w:val="22"/>
        </w:rPr>
        <w:t>"Por la cual se impone una sanción por incumplimiento una orden"</w:t>
      </w:r>
      <w:r w:rsidRPr="00020629">
        <w:rPr>
          <w:rFonts w:ascii="Arial" w:hAnsi="Arial" w:cs="Arial"/>
          <w:color w:val="000000"/>
          <w:sz w:val="22"/>
          <w:szCs w:val="22"/>
        </w:rPr>
        <w:t>, mediante radicado 2-2019-2-2018-11862 de fecha 20 de marzo de 2018.</w:t>
      </w:r>
    </w:p>
    <w:p w14:paraId="73A29F4B" w14:textId="77777777" w:rsidR="00020629" w:rsidRDefault="00020629" w:rsidP="00020629">
      <w:pPr>
        <w:widowControl w:val="0"/>
        <w:autoSpaceDE w:val="0"/>
        <w:autoSpaceDN w:val="0"/>
        <w:adjustRightInd w:val="0"/>
        <w:ind w:right="-93"/>
        <w:jc w:val="both"/>
        <w:rPr>
          <w:rFonts w:ascii="Arial" w:hAnsi="Arial" w:cs="Arial"/>
          <w:color w:val="000000"/>
          <w:sz w:val="22"/>
          <w:szCs w:val="22"/>
        </w:rPr>
      </w:pPr>
    </w:p>
    <w:p w14:paraId="7C1DED7A" w14:textId="46D01DD9" w:rsidR="00020629" w:rsidRPr="00020629" w:rsidRDefault="00020629" w:rsidP="00020629">
      <w:pPr>
        <w:widowControl w:val="0"/>
        <w:autoSpaceDE w:val="0"/>
        <w:autoSpaceDN w:val="0"/>
        <w:adjustRightInd w:val="0"/>
        <w:ind w:right="-93"/>
        <w:jc w:val="both"/>
        <w:rPr>
          <w:rFonts w:ascii="Arial" w:hAnsi="Arial" w:cs="Arial"/>
          <w:color w:val="000000"/>
          <w:sz w:val="22"/>
          <w:szCs w:val="22"/>
        </w:rPr>
      </w:pPr>
      <w:r w:rsidRPr="00020629">
        <w:rPr>
          <w:rFonts w:ascii="Arial" w:hAnsi="Arial" w:cs="Arial"/>
          <w:color w:val="000000"/>
          <w:sz w:val="22"/>
          <w:szCs w:val="22"/>
        </w:rPr>
        <w:t xml:space="preserve">Que esta Subdirección cito tanto enajenador como quejoso mediante radicados Nos. 2-2022-21388 y 2-2022-21389 de fecha 19 de abril de 2022 respectivamente, a visita de verificación al cumplimiento de lo ordenado mediante Resolución </w:t>
      </w:r>
      <w:r>
        <w:rPr>
          <w:rFonts w:ascii="Arial" w:hAnsi="Arial" w:cs="Arial"/>
          <w:color w:val="000000"/>
          <w:sz w:val="22"/>
          <w:szCs w:val="22"/>
        </w:rPr>
        <w:t>No.</w:t>
      </w:r>
      <w:r w:rsidRPr="00020629">
        <w:rPr>
          <w:rFonts w:ascii="Arial" w:hAnsi="Arial" w:cs="Arial"/>
          <w:color w:val="000000"/>
          <w:sz w:val="22"/>
          <w:szCs w:val="22"/>
        </w:rPr>
        <w:t xml:space="preserve">2609 del 28 de septiembre de 2016, </w:t>
      </w:r>
      <w:r w:rsidRPr="00020629">
        <w:rPr>
          <w:rFonts w:ascii="Arial" w:hAnsi="Arial" w:cs="Arial"/>
          <w:i/>
          <w:iCs/>
          <w:color w:val="000000"/>
          <w:sz w:val="22"/>
          <w:szCs w:val="22"/>
        </w:rPr>
        <w:t>"Por la cual se impone una sanción y se imparte una orden"</w:t>
      </w:r>
      <w:r w:rsidRPr="00020629">
        <w:rPr>
          <w:rFonts w:ascii="Arial" w:hAnsi="Arial" w:cs="Arial"/>
          <w:color w:val="000000"/>
          <w:sz w:val="22"/>
          <w:szCs w:val="22"/>
        </w:rPr>
        <w:t>, el día 19 de abril de 2022 a las 11:00 A.M.; el cual se emitió el Informe de Verificación de Hechos No. 22-316 de fecha 15 de junio de 2022, documento que reflejó que algunos de los hechos habían sido subsanados.</w:t>
      </w:r>
    </w:p>
    <w:p w14:paraId="05937E65" w14:textId="77777777" w:rsidR="00020629" w:rsidRDefault="00020629" w:rsidP="00020629">
      <w:pPr>
        <w:widowControl w:val="0"/>
        <w:autoSpaceDE w:val="0"/>
        <w:autoSpaceDN w:val="0"/>
        <w:adjustRightInd w:val="0"/>
        <w:ind w:right="-93"/>
        <w:jc w:val="both"/>
        <w:rPr>
          <w:rFonts w:ascii="Arial" w:hAnsi="Arial" w:cs="Arial"/>
          <w:color w:val="000000"/>
          <w:sz w:val="22"/>
          <w:szCs w:val="22"/>
        </w:rPr>
      </w:pPr>
    </w:p>
    <w:p w14:paraId="232C5098" w14:textId="40C5F6A2" w:rsidR="00020629" w:rsidRPr="00020629" w:rsidRDefault="00020629" w:rsidP="00020629">
      <w:pPr>
        <w:widowControl w:val="0"/>
        <w:autoSpaceDE w:val="0"/>
        <w:autoSpaceDN w:val="0"/>
        <w:adjustRightInd w:val="0"/>
        <w:ind w:right="-93"/>
        <w:jc w:val="both"/>
        <w:rPr>
          <w:rFonts w:ascii="Arial" w:hAnsi="Arial" w:cs="Arial"/>
          <w:color w:val="000000"/>
          <w:sz w:val="22"/>
          <w:szCs w:val="22"/>
        </w:rPr>
      </w:pPr>
      <w:r w:rsidRPr="00020629">
        <w:rPr>
          <w:rFonts w:ascii="Arial" w:hAnsi="Arial" w:cs="Arial"/>
          <w:color w:val="000000"/>
          <w:sz w:val="22"/>
          <w:szCs w:val="22"/>
        </w:rPr>
        <w:t>Que nuevamente en virtud de lo dispuesto en el Decreto 572 de 2015, en la actuación administrativa de seguimiento al caso, se dispuso diligencia de Visita de Verificación de Hechos al inmueble objeto de orden, el día 15 de mayo de 2024, de lo cual se les comunicó mediante oficios Nos. 2-024-22159 y 2-2024-22155 a las partes tanto quejoso como enajenador.</w:t>
      </w:r>
    </w:p>
    <w:p w14:paraId="64487031" w14:textId="77777777" w:rsidR="00020629" w:rsidRPr="00020629" w:rsidRDefault="00020629" w:rsidP="00664AA4">
      <w:pPr>
        <w:widowControl w:val="0"/>
        <w:autoSpaceDE w:val="0"/>
        <w:autoSpaceDN w:val="0"/>
        <w:adjustRightInd w:val="0"/>
        <w:ind w:right="-93"/>
        <w:jc w:val="both"/>
        <w:rPr>
          <w:rFonts w:ascii="Arial" w:hAnsi="Arial" w:cs="Arial"/>
          <w:color w:val="000000"/>
          <w:sz w:val="22"/>
          <w:szCs w:val="22"/>
          <w:lang w:val="es-CO"/>
        </w:rPr>
      </w:pPr>
    </w:p>
    <w:p w14:paraId="154677E1" w14:textId="77777777" w:rsidR="00B858FC" w:rsidRPr="00B858FC" w:rsidRDefault="00B858FC" w:rsidP="00B858FC">
      <w:pPr>
        <w:widowControl w:val="0"/>
        <w:autoSpaceDE w:val="0"/>
        <w:autoSpaceDN w:val="0"/>
        <w:adjustRightInd w:val="0"/>
        <w:ind w:right="-93"/>
        <w:jc w:val="both"/>
        <w:rPr>
          <w:rFonts w:ascii="Arial" w:hAnsi="Arial" w:cs="Arial"/>
          <w:color w:val="000000"/>
          <w:sz w:val="22"/>
          <w:szCs w:val="22"/>
          <w:lang w:val="es-CO"/>
        </w:rPr>
      </w:pPr>
      <w:r w:rsidRPr="00B858FC">
        <w:rPr>
          <w:rFonts w:ascii="Arial" w:hAnsi="Arial" w:cs="Arial"/>
          <w:color w:val="000000"/>
          <w:sz w:val="22"/>
          <w:szCs w:val="22"/>
          <w:lang w:val="es-CO"/>
        </w:rPr>
        <w:t xml:space="preserve">Que con fundamento en la visita realizada el día 15 de mayo de 2024, esta Subdirección a través de su grupo técnico emitió el Informe de Verificación de Hechos No. 24-156 de fecha 24 de mayo de 2024, a través el cual se determinó que las deficiencias constructivas correspondientes a: </w:t>
      </w:r>
      <w:r w:rsidRPr="00B858FC">
        <w:rPr>
          <w:rFonts w:ascii="Arial" w:hAnsi="Arial" w:cs="Arial"/>
          <w:b/>
          <w:bCs/>
          <w:color w:val="000000"/>
          <w:sz w:val="22"/>
          <w:szCs w:val="22"/>
          <w:lang w:val="es-CO"/>
        </w:rPr>
        <w:t>1-2 A NO EXISTE LA INSTALACIÓN DE BARANDA, O MEDIO QUE GARANTICE LA SEGURIDAD DE LAS PERSONAS QUE UTILIZAN EL ÁREA Y/O REALIZAN MANTENIMIENTO A ESTA ZONA. PERSISTE, 2- B. MANTO: EN LA VISITA EFECTUADA, SE OBSERVA QUE EL MANTO INSTALADO EN LA CUBIERTA, PRESENTE DETERIORO PREMATURO. PERSISTE., 3- C. SIFONES: SE OBSERVAN SIFONES EN EL ÁREA DE CUBIERTA LOS CUALES NO CUENTAN CON REJILLA DE PROTECCIÓN, NO PERSISTE. 4. 7. EMPOZAMIENTO DE AGUA EN AISLAMIENTO POSTERIOR PRIMER PISO, NO PERSISTE. 5- 8. HUMEDAD EN TECHOS SÓTANOS. NO PERSISTE. 6- 9. SUPEFICIE LISA EN ESCALERA DE ACCESO DESDE RECEPCIÓN AL SEGUNDO PISO NO PERSISTE. 7- 10. ACCESO A DISCAPACITADOS PERSISTE, 8- 13. CUARTO DE BASURAS PERSISTE.</w:t>
      </w:r>
    </w:p>
    <w:p w14:paraId="2CA85407" w14:textId="77777777" w:rsidR="00B858FC" w:rsidRDefault="00B858FC" w:rsidP="00B858FC">
      <w:pPr>
        <w:widowControl w:val="0"/>
        <w:autoSpaceDE w:val="0"/>
        <w:autoSpaceDN w:val="0"/>
        <w:adjustRightInd w:val="0"/>
        <w:ind w:right="-93"/>
        <w:jc w:val="both"/>
        <w:rPr>
          <w:rFonts w:ascii="Arial" w:hAnsi="Arial" w:cs="Arial"/>
          <w:color w:val="000000"/>
          <w:sz w:val="22"/>
          <w:szCs w:val="22"/>
          <w:lang w:val="es-CO"/>
        </w:rPr>
      </w:pPr>
    </w:p>
    <w:p w14:paraId="4B719CB3" w14:textId="4B879D3F" w:rsidR="00B858FC" w:rsidRPr="00B858FC" w:rsidRDefault="00B858FC" w:rsidP="00B858FC">
      <w:pPr>
        <w:widowControl w:val="0"/>
        <w:autoSpaceDE w:val="0"/>
        <w:autoSpaceDN w:val="0"/>
        <w:adjustRightInd w:val="0"/>
        <w:ind w:right="-93"/>
        <w:jc w:val="both"/>
        <w:rPr>
          <w:rFonts w:ascii="Arial" w:hAnsi="Arial" w:cs="Arial"/>
          <w:color w:val="000000"/>
          <w:sz w:val="22"/>
          <w:szCs w:val="22"/>
          <w:lang w:val="es-CO"/>
        </w:rPr>
      </w:pPr>
      <w:r w:rsidRPr="00B858FC">
        <w:rPr>
          <w:rFonts w:ascii="Arial" w:hAnsi="Arial" w:cs="Arial"/>
          <w:color w:val="000000"/>
          <w:sz w:val="22"/>
          <w:szCs w:val="22"/>
          <w:lang w:val="es-CO"/>
        </w:rPr>
        <w:t>Que el Informe de Verificación de Hechos No. 24-156 de fecha 24 de mayo de 2024 emitido por el grupo de trabajo técnico de esta Subdirección de Investigaciones y Control de Vivienda, fue trasladado a la al administrador y/o quien haga de sus veces del EDIFICIO SAN NICOLÁS mediante radicado 2-2024-28826 16 de junio de 2024 y fue trasladado a la sociedad enajenadora mediante radicado 2-2024-28825 de fecha 12 de junio de 2024.</w:t>
      </w:r>
    </w:p>
    <w:p w14:paraId="7EAE4379" w14:textId="77777777" w:rsidR="00B858FC" w:rsidRDefault="00B858FC" w:rsidP="00B858FC">
      <w:pPr>
        <w:widowControl w:val="0"/>
        <w:autoSpaceDE w:val="0"/>
        <w:autoSpaceDN w:val="0"/>
        <w:adjustRightInd w:val="0"/>
        <w:ind w:right="-93"/>
        <w:jc w:val="both"/>
        <w:rPr>
          <w:rFonts w:ascii="Arial" w:hAnsi="Arial" w:cs="Arial"/>
          <w:color w:val="000000"/>
          <w:sz w:val="22"/>
          <w:szCs w:val="22"/>
          <w:lang w:val="es-CO"/>
        </w:rPr>
      </w:pPr>
    </w:p>
    <w:p w14:paraId="60954E13" w14:textId="50AC57B9" w:rsidR="00B858FC" w:rsidRPr="00B858FC" w:rsidRDefault="00B858FC" w:rsidP="00B858FC">
      <w:pPr>
        <w:widowControl w:val="0"/>
        <w:autoSpaceDE w:val="0"/>
        <w:autoSpaceDN w:val="0"/>
        <w:adjustRightInd w:val="0"/>
        <w:ind w:right="-93"/>
        <w:jc w:val="both"/>
        <w:rPr>
          <w:rFonts w:ascii="Arial" w:hAnsi="Arial" w:cs="Arial"/>
          <w:color w:val="000000"/>
          <w:sz w:val="22"/>
          <w:szCs w:val="22"/>
          <w:lang w:val="es-CO"/>
        </w:rPr>
      </w:pPr>
      <w:r w:rsidRPr="00B858FC">
        <w:rPr>
          <w:rFonts w:ascii="Arial" w:hAnsi="Arial" w:cs="Arial"/>
          <w:color w:val="000000"/>
          <w:sz w:val="22"/>
          <w:szCs w:val="22"/>
          <w:lang w:val="es-CO"/>
        </w:rPr>
        <w:t>Que la compañía enajenadora INTERPANEL S.A.S, a través del radicado 1-2024-23861 de fecha 20 de junio de 2024, se pronunció respecto del traslado del informe de hechos No. 24-156 de fecha 24 de mayo de 2024, aduciendo que remitía copia de lo que considera la acreditación de la subsanación de los hechos sancionados.</w:t>
      </w:r>
    </w:p>
    <w:p w14:paraId="3AF4A3DC" w14:textId="77777777" w:rsidR="00020629" w:rsidRPr="00B858FC" w:rsidRDefault="00020629" w:rsidP="00664AA4">
      <w:pPr>
        <w:widowControl w:val="0"/>
        <w:autoSpaceDE w:val="0"/>
        <w:autoSpaceDN w:val="0"/>
        <w:adjustRightInd w:val="0"/>
        <w:ind w:right="-93"/>
        <w:jc w:val="both"/>
        <w:rPr>
          <w:rFonts w:ascii="Arial" w:hAnsi="Arial" w:cs="Arial"/>
          <w:color w:val="000000"/>
          <w:sz w:val="22"/>
          <w:szCs w:val="22"/>
          <w:lang w:val="es-CO"/>
        </w:rPr>
      </w:pPr>
    </w:p>
    <w:p w14:paraId="15A3F5A1" w14:textId="0D050C48" w:rsidR="00B858FC" w:rsidRDefault="00B858FC" w:rsidP="00B858FC">
      <w:pPr>
        <w:jc w:val="both"/>
        <w:rPr>
          <w:rFonts w:ascii="Arial" w:hAnsi="Arial" w:cs="Arial"/>
          <w:sz w:val="22"/>
          <w:szCs w:val="22"/>
        </w:rPr>
      </w:pPr>
      <w:r>
        <w:rPr>
          <w:rFonts w:ascii="Arial" w:hAnsi="Arial" w:cs="Arial"/>
          <w:color w:val="000000"/>
          <w:sz w:val="22"/>
          <w:szCs w:val="22"/>
        </w:rPr>
        <w:t xml:space="preserve">Que, </w:t>
      </w:r>
      <w:r w:rsidRPr="008D5937">
        <w:rPr>
          <w:rFonts w:ascii="Arial" w:hAnsi="Arial" w:cs="Arial"/>
          <w:sz w:val="22"/>
          <w:szCs w:val="22"/>
        </w:rPr>
        <w:t xml:space="preserve">la </w:t>
      </w:r>
      <w:r>
        <w:rPr>
          <w:rFonts w:ascii="Arial" w:eastAsia="Arial" w:hAnsi="Arial" w:cs="Arial"/>
          <w:color w:val="000000"/>
          <w:sz w:val="22"/>
          <w:szCs w:val="22"/>
        </w:rPr>
        <w:t>Dirección</w:t>
      </w:r>
      <w:r w:rsidRPr="008D5937">
        <w:rPr>
          <w:rFonts w:ascii="Arial" w:hAnsi="Arial" w:cs="Arial"/>
          <w:sz w:val="22"/>
          <w:szCs w:val="22"/>
        </w:rPr>
        <w:t xml:space="preserve"> de Investigaciones y Control de Vivienda de la Subsecretaría de Inspección, Vigilancia y Control de Vivienda de la Secretaría Distrital del Hábitat, expid</w:t>
      </w:r>
      <w:r>
        <w:rPr>
          <w:rFonts w:ascii="Arial" w:hAnsi="Arial" w:cs="Arial"/>
          <w:sz w:val="22"/>
          <w:szCs w:val="22"/>
        </w:rPr>
        <w:t>ió</w:t>
      </w:r>
      <w:r w:rsidRPr="008D5937">
        <w:rPr>
          <w:rFonts w:ascii="Arial" w:hAnsi="Arial" w:cs="Arial"/>
          <w:sz w:val="22"/>
          <w:szCs w:val="22"/>
        </w:rPr>
        <w:t xml:space="preserve"> la </w:t>
      </w:r>
      <w:r w:rsidRPr="00B858FC">
        <w:rPr>
          <w:rFonts w:ascii="Arial" w:hAnsi="Arial" w:cs="Arial"/>
          <w:sz w:val="22"/>
          <w:szCs w:val="22"/>
        </w:rPr>
        <w:t>Resolución No.</w:t>
      </w:r>
      <w:r w:rsidR="00C15949">
        <w:rPr>
          <w:rFonts w:ascii="Arial" w:hAnsi="Arial" w:cs="Arial"/>
          <w:sz w:val="22"/>
          <w:szCs w:val="22"/>
        </w:rPr>
        <w:t xml:space="preserve"> </w:t>
      </w:r>
      <w:r>
        <w:rPr>
          <w:rFonts w:ascii="Arial" w:hAnsi="Arial" w:cs="Arial"/>
          <w:sz w:val="22"/>
          <w:szCs w:val="22"/>
        </w:rPr>
        <w:t xml:space="preserve">30 </w:t>
      </w:r>
      <w:r w:rsidRPr="00B858FC">
        <w:rPr>
          <w:rFonts w:ascii="Arial" w:hAnsi="Arial" w:cs="Arial"/>
          <w:sz w:val="22"/>
          <w:szCs w:val="22"/>
        </w:rPr>
        <w:t xml:space="preserve">del </w:t>
      </w:r>
      <w:r w:rsidR="00572DA1">
        <w:rPr>
          <w:rFonts w:ascii="Arial" w:hAnsi="Arial" w:cs="Arial"/>
          <w:sz w:val="22"/>
          <w:szCs w:val="22"/>
        </w:rPr>
        <w:t>23</w:t>
      </w:r>
      <w:r>
        <w:rPr>
          <w:rFonts w:ascii="Arial" w:hAnsi="Arial" w:cs="Arial"/>
          <w:sz w:val="22"/>
          <w:szCs w:val="22"/>
        </w:rPr>
        <w:t xml:space="preserve"> de enero de 2025</w:t>
      </w:r>
      <w:r w:rsidRPr="00B858FC">
        <w:rPr>
          <w:rFonts w:ascii="Arial" w:hAnsi="Arial" w:cs="Arial"/>
          <w:sz w:val="22"/>
          <w:szCs w:val="22"/>
        </w:rPr>
        <w:t xml:space="preserve"> </w:t>
      </w:r>
      <w:r w:rsidRPr="00B858FC">
        <w:rPr>
          <w:rFonts w:ascii="Arial" w:hAnsi="Arial" w:cs="Arial"/>
          <w:i/>
          <w:iCs/>
          <w:sz w:val="22"/>
          <w:szCs w:val="22"/>
        </w:rPr>
        <w:t>“Por la cual se impone una multa por incumplimiento a una orden”</w:t>
      </w:r>
      <w:r w:rsidRPr="00B858FC">
        <w:rPr>
          <w:rFonts w:ascii="Arial" w:hAnsi="Arial" w:cs="Arial"/>
          <w:sz w:val="22"/>
          <w:szCs w:val="22"/>
        </w:rPr>
        <w:t>, multó a la sociedad enajenadora</w:t>
      </w:r>
      <w:r w:rsidRPr="008D5937">
        <w:rPr>
          <w:rFonts w:ascii="Arial" w:hAnsi="Arial" w:cs="Arial"/>
          <w:sz w:val="22"/>
          <w:szCs w:val="22"/>
        </w:rPr>
        <w:t xml:space="preserve"> </w:t>
      </w:r>
      <w:r>
        <w:rPr>
          <w:rFonts w:ascii="Arial" w:eastAsia="Arial" w:hAnsi="Arial" w:cs="Arial"/>
          <w:color w:val="000000"/>
          <w:sz w:val="22"/>
          <w:szCs w:val="22"/>
        </w:rPr>
        <w:t>INTERPANEL S.A.S.</w:t>
      </w:r>
      <w:r w:rsidRPr="008D5937">
        <w:rPr>
          <w:rFonts w:ascii="Arial" w:hAnsi="Arial" w:cs="Arial"/>
          <w:sz w:val="22"/>
          <w:szCs w:val="22"/>
        </w:rPr>
        <w:t xml:space="preserve">, </w:t>
      </w:r>
      <w:r>
        <w:rPr>
          <w:rFonts w:ascii="Arial" w:hAnsi="Arial" w:cs="Arial"/>
          <w:sz w:val="22"/>
          <w:szCs w:val="22"/>
        </w:rPr>
        <w:t>por valor de CUARENTA MIL OCHOCIENTOS DIECISIETE PESOS ($40.817), que indexados a la fecha correspondieron a OCHO MILLONES QUINIENTOS SETENTA MIL TRESCIENTOS OCHENTA Y SIETE PESOS ($8.570.387) M/CTE</w:t>
      </w:r>
      <w:r w:rsidRPr="008D5937">
        <w:rPr>
          <w:rFonts w:ascii="Arial" w:hAnsi="Arial" w:cs="Arial"/>
          <w:sz w:val="22"/>
          <w:szCs w:val="22"/>
        </w:rPr>
        <w:t xml:space="preserve">. </w:t>
      </w:r>
    </w:p>
    <w:p w14:paraId="47BDA868" w14:textId="77777777" w:rsidR="003A2C21" w:rsidRDefault="003A2C21" w:rsidP="003A2C21">
      <w:pPr>
        <w:jc w:val="both"/>
        <w:rPr>
          <w:rFonts w:ascii="Arial" w:hAnsi="Arial" w:cs="Arial"/>
          <w:sz w:val="22"/>
          <w:szCs w:val="22"/>
        </w:rPr>
      </w:pPr>
    </w:p>
    <w:p w14:paraId="51F26D0E" w14:textId="028D186E" w:rsidR="003A2C21" w:rsidRPr="008D5937" w:rsidRDefault="003A2C21" w:rsidP="003A2C21">
      <w:pPr>
        <w:jc w:val="both"/>
        <w:rPr>
          <w:rFonts w:ascii="Arial" w:hAnsi="Arial" w:cs="Arial"/>
          <w:sz w:val="22"/>
          <w:szCs w:val="22"/>
        </w:rPr>
      </w:pPr>
      <w:r>
        <w:rPr>
          <w:rFonts w:ascii="Arial" w:hAnsi="Arial" w:cs="Arial"/>
          <w:sz w:val="22"/>
          <w:szCs w:val="22"/>
        </w:rPr>
        <w:t xml:space="preserve">Que la </w:t>
      </w:r>
      <w:r w:rsidR="00680DA4" w:rsidRPr="00680DA4">
        <w:rPr>
          <w:rFonts w:ascii="Arial" w:hAnsi="Arial" w:cs="Arial"/>
          <w:sz w:val="22"/>
          <w:szCs w:val="22"/>
        </w:rPr>
        <w:t>Resolución No.</w:t>
      </w:r>
      <w:r w:rsidR="00572DA1" w:rsidRPr="00572DA1">
        <w:rPr>
          <w:rFonts w:ascii="Arial" w:hAnsi="Arial" w:cs="Arial"/>
          <w:sz w:val="22"/>
          <w:szCs w:val="22"/>
        </w:rPr>
        <w:t xml:space="preserve"> </w:t>
      </w:r>
      <w:r w:rsidR="00572DA1">
        <w:rPr>
          <w:rFonts w:ascii="Arial" w:hAnsi="Arial" w:cs="Arial"/>
          <w:sz w:val="22"/>
          <w:szCs w:val="22"/>
        </w:rPr>
        <w:t xml:space="preserve">30 </w:t>
      </w:r>
      <w:r w:rsidR="00572DA1" w:rsidRPr="00B858FC">
        <w:rPr>
          <w:rFonts w:ascii="Arial" w:hAnsi="Arial" w:cs="Arial"/>
          <w:sz w:val="22"/>
          <w:szCs w:val="22"/>
        </w:rPr>
        <w:t xml:space="preserve">del </w:t>
      </w:r>
      <w:r w:rsidR="00572DA1">
        <w:rPr>
          <w:rFonts w:ascii="Arial" w:hAnsi="Arial" w:cs="Arial"/>
          <w:sz w:val="22"/>
          <w:szCs w:val="22"/>
        </w:rPr>
        <w:t>23 de enero de 2025</w:t>
      </w:r>
      <w:r>
        <w:rPr>
          <w:rFonts w:ascii="Arial" w:hAnsi="Arial" w:cs="Arial"/>
          <w:sz w:val="22"/>
          <w:szCs w:val="22"/>
        </w:rPr>
        <w:t xml:space="preserve">, fue notificada </w:t>
      </w:r>
      <w:r w:rsidR="00572DA1">
        <w:rPr>
          <w:rFonts w:ascii="Arial" w:hAnsi="Arial" w:cs="Arial"/>
          <w:sz w:val="22"/>
          <w:szCs w:val="22"/>
        </w:rPr>
        <w:t>de manera personal a la señora LUISA FERNANDA ROBELTO en calidad de autorizada de la sociedad enajenadora; el día 07 de mayo de 2025.</w:t>
      </w:r>
    </w:p>
    <w:p w14:paraId="5C4E92AB" w14:textId="77777777" w:rsidR="003A2C21" w:rsidRPr="008D5937" w:rsidRDefault="003A2C21" w:rsidP="003A2C21">
      <w:pPr>
        <w:jc w:val="both"/>
        <w:rPr>
          <w:rFonts w:ascii="Arial" w:hAnsi="Arial" w:cs="Arial"/>
          <w:sz w:val="22"/>
          <w:szCs w:val="22"/>
        </w:rPr>
      </w:pPr>
    </w:p>
    <w:p w14:paraId="4D5D8921" w14:textId="0DB46320" w:rsidR="003A2C21" w:rsidRPr="008D5937" w:rsidRDefault="003A2C21" w:rsidP="003A2C21">
      <w:pPr>
        <w:jc w:val="both"/>
        <w:rPr>
          <w:rFonts w:ascii="Arial" w:hAnsi="Arial" w:cs="Arial"/>
          <w:sz w:val="22"/>
          <w:szCs w:val="22"/>
        </w:rPr>
      </w:pPr>
      <w:r w:rsidRPr="008D5937">
        <w:rPr>
          <w:rFonts w:ascii="Arial" w:hAnsi="Arial" w:cs="Arial"/>
          <w:sz w:val="22"/>
          <w:szCs w:val="22"/>
        </w:rPr>
        <w:t xml:space="preserve">Que el enajenador </w:t>
      </w:r>
      <w:r w:rsidR="00B659F1">
        <w:rPr>
          <w:rFonts w:ascii="Arial" w:hAnsi="Arial" w:cs="Arial"/>
          <w:sz w:val="22"/>
          <w:szCs w:val="22"/>
        </w:rPr>
        <w:t>INTERPANEL S.A.S</w:t>
      </w:r>
      <w:r w:rsidR="00572DA1">
        <w:rPr>
          <w:rFonts w:ascii="Arial" w:hAnsi="Arial" w:cs="Arial"/>
          <w:sz w:val="22"/>
          <w:szCs w:val="22"/>
        </w:rPr>
        <w:t>.,</w:t>
      </w:r>
      <w:r w:rsidRPr="008D5937">
        <w:rPr>
          <w:rFonts w:ascii="Arial" w:hAnsi="Arial" w:cs="Arial"/>
          <w:sz w:val="22"/>
          <w:szCs w:val="22"/>
        </w:rPr>
        <w:t xml:space="preserve"> interpuso recurso de </w:t>
      </w:r>
      <w:r>
        <w:rPr>
          <w:rFonts w:ascii="Arial" w:hAnsi="Arial" w:cs="Arial"/>
          <w:sz w:val="22"/>
          <w:szCs w:val="22"/>
        </w:rPr>
        <w:t>r</w:t>
      </w:r>
      <w:r w:rsidRPr="008D5937">
        <w:rPr>
          <w:rFonts w:ascii="Arial" w:hAnsi="Arial" w:cs="Arial"/>
          <w:sz w:val="22"/>
          <w:szCs w:val="22"/>
        </w:rPr>
        <w:t xml:space="preserve">eposición y en subsidio </w:t>
      </w:r>
      <w:r>
        <w:rPr>
          <w:rFonts w:ascii="Arial" w:hAnsi="Arial" w:cs="Arial"/>
          <w:sz w:val="22"/>
          <w:szCs w:val="22"/>
        </w:rPr>
        <w:t>a</w:t>
      </w:r>
      <w:r w:rsidRPr="008D5937">
        <w:rPr>
          <w:rFonts w:ascii="Arial" w:hAnsi="Arial" w:cs="Arial"/>
          <w:sz w:val="22"/>
          <w:szCs w:val="22"/>
        </w:rPr>
        <w:t xml:space="preserve">pelación en contra de la Resolución No. </w:t>
      </w:r>
      <w:r w:rsidR="00572DA1">
        <w:rPr>
          <w:rFonts w:ascii="Arial" w:hAnsi="Arial" w:cs="Arial"/>
          <w:sz w:val="22"/>
          <w:szCs w:val="22"/>
        </w:rPr>
        <w:t>30 del 23 de enero de 2025</w:t>
      </w:r>
      <w:r w:rsidRPr="008D5937">
        <w:rPr>
          <w:rFonts w:ascii="Arial" w:hAnsi="Arial" w:cs="Arial"/>
          <w:sz w:val="22"/>
          <w:szCs w:val="22"/>
        </w:rPr>
        <w:t xml:space="preserve"> </w:t>
      </w:r>
      <w:r w:rsidRPr="008D5937">
        <w:rPr>
          <w:rFonts w:ascii="Arial" w:hAnsi="Arial" w:cs="Arial"/>
          <w:i/>
          <w:iCs/>
          <w:sz w:val="22"/>
          <w:szCs w:val="22"/>
        </w:rPr>
        <w:t>“Por la cual se impone una multa, por incumplimiento a una orden”</w:t>
      </w:r>
      <w:r w:rsidRPr="008D5937">
        <w:rPr>
          <w:rFonts w:ascii="Arial" w:hAnsi="Arial" w:cs="Arial"/>
          <w:sz w:val="22"/>
          <w:szCs w:val="22"/>
        </w:rPr>
        <w:t>; mediante radicado No. 1-2025-2</w:t>
      </w:r>
      <w:r w:rsidR="002E0744">
        <w:rPr>
          <w:rFonts w:ascii="Arial" w:hAnsi="Arial" w:cs="Arial"/>
          <w:sz w:val="22"/>
          <w:szCs w:val="22"/>
        </w:rPr>
        <w:t xml:space="preserve">28427 </w:t>
      </w:r>
      <w:r>
        <w:rPr>
          <w:rFonts w:ascii="Arial" w:hAnsi="Arial" w:cs="Arial"/>
          <w:sz w:val="22"/>
          <w:szCs w:val="22"/>
        </w:rPr>
        <w:t>del</w:t>
      </w:r>
      <w:r w:rsidRPr="008D5937">
        <w:rPr>
          <w:rFonts w:ascii="Arial" w:hAnsi="Arial" w:cs="Arial"/>
          <w:sz w:val="22"/>
          <w:szCs w:val="22"/>
        </w:rPr>
        <w:t xml:space="preserve"> 1</w:t>
      </w:r>
      <w:r w:rsidR="002E0744">
        <w:rPr>
          <w:rFonts w:ascii="Arial" w:hAnsi="Arial" w:cs="Arial"/>
          <w:sz w:val="22"/>
          <w:szCs w:val="22"/>
        </w:rPr>
        <w:t>9 de mayo de 2025</w:t>
      </w:r>
      <w:r w:rsidRPr="008D5937">
        <w:rPr>
          <w:rFonts w:ascii="Arial" w:hAnsi="Arial" w:cs="Arial"/>
          <w:sz w:val="22"/>
          <w:szCs w:val="22"/>
        </w:rPr>
        <w:t>.</w:t>
      </w:r>
    </w:p>
    <w:p w14:paraId="18629D1E" w14:textId="77777777" w:rsidR="003A2C21" w:rsidRPr="008D5937" w:rsidRDefault="003A2C21" w:rsidP="003A2C21">
      <w:pPr>
        <w:jc w:val="both"/>
        <w:rPr>
          <w:rFonts w:ascii="Arial" w:hAnsi="Arial" w:cs="Arial"/>
          <w:sz w:val="22"/>
          <w:szCs w:val="22"/>
        </w:rPr>
      </w:pPr>
    </w:p>
    <w:p w14:paraId="1A32517B" w14:textId="32E115B9" w:rsidR="003A2C21" w:rsidRPr="008D5937" w:rsidRDefault="003A2C21" w:rsidP="003A2C21">
      <w:pPr>
        <w:jc w:val="both"/>
        <w:rPr>
          <w:rFonts w:ascii="Arial" w:hAnsi="Arial" w:cs="Arial"/>
          <w:sz w:val="22"/>
          <w:szCs w:val="22"/>
        </w:rPr>
      </w:pPr>
      <w:r w:rsidRPr="008D5937">
        <w:rPr>
          <w:rFonts w:ascii="Arial" w:hAnsi="Arial" w:cs="Arial"/>
          <w:sz w:val="22"/>
          <w:szCs w:val="22"/>
        </w:rPr>
        <w:t xml:space="preserve">Que, ante el recurso incoado, procede esta </w:t>
      </w:r>
      <w:r w:rsidR="00D005E0">
        <w:rPr>
          <w:rFonts w:ascii="Arial" w:eastAsia="Arial" w:hAnsi="Arial" w:cs="Arial"/>
          <w:color w:val="000000"/>
          <w:sz w:val="22"/>
          <w:szCs w:val="22"/>
        </w:rPr>
        <w:t>Dirección</w:t>
      </w:r>
      <w:r w:rsidR="00D005E0" w:rsidRPr="008D5937">
        <w:rPr>
          <w:rFonts w:ascii="Arial" w:hAnsi="Arial" w:cs="Arial"/>
          <w:sz w:val="22"/>
          <w:szCs w:val="22"/>
        </w:rPr>
        <w:t xml:space="preserve"> </w:t>
      </w:r>
      <w:r w:rsidRPr="008D5937">
        <w:rPr>
          <w:rFonts w:ascii="Arial" w:hAnsi="Arial" w:cs="Arial"/>
          <w:sz w:val="22"/>
          <w:szCs w:val="22"/>
        </w:rPr>
        <w:t>a pronunciarse, previo lo siguiente:</w:t>
      </w:r>
    </w:p>
    <w:p w14:paraId="176C9D66" w14:textId="77777777" w:rsidR="003A2C21" w:rsidRPr="008D5937" w:rsidRDefault="003A2C21" w:rsidP="003A2C21">
      <w:pPr>
        <w:jc w:val="both"/>
        <w:rPr>
          <w:rFonts w:ascii="Arial" w:eastAsia="Tahoma" w:hAnsi="Arial" w:cs="Arial"/>
          <w:sz w:val="22"/>
          <w:szCs w:val="22"/>
        </w:rPr>
      </w:pPr>
    </w:p>
    <w:p w14:paraId="3CDF10FF" w14:textId="77777777" w:rsidR="003A2C21" w:rsidRPr="008D5937" w:rsidRDefault="003A2C21" w:rsidP="003A2C21">
      <w:pPr>
        <w:jc w:val="center"/>
        <w:rPr>
          <w:rFonts w:ascii="Arial" w:hAnsi="Arial" w:cs="Arial"/>
          <w:b/>
          <w:sz w:val="22"/>
          <w:szCs w:val="22"/>
          <w:lang w:val="es-ES"/>
        </w:rPr>
      </w:pPr>
    </w:p>
    <w:p w14:paraId="549BD04A" w14:textId="77777777" w:rsidR="003A2C21" w:rsidRPr="008D5937" w:rsidRDefault="003A2C21" w:rsidP="003A2C21">
      <w:pPr>
        <w:jc w:val="center"/>
        <w:rPr>
          <w:rFonts w:ascii="Arial" w:hAnsi="Arial" w:cs="Arial"/>
          <w:b/>
          <w:sz w:val="22"/>
          <w:szCs w:val="22"/>
          <w:lang w:val="es-ES"/>
        </w:rPr>
      </w:pPr>
      <w:r w:rsidRPr="008D5937">
        <w:rPr>
          <w:rFonts w:ascii="Arial" w:hAnsi="Arial" w:cs="Arial"/>
          <w:b/>
          <w:sz w:val="22"/>
          <w:szCs w:val="22"/>
          <w:lang w:val="es-ES"/>
        </w:rPr>
        <w:t>RAZONAMIENTOS DEL DESPACHO</w:t>
      </w:r>
    </w:p>
    <w:p w14:paraId="789295EC" w14:textId="77777777" w:rsidR="003A2C21" w:rsidRPr="008D5937" w:rsidRDefault="003A2C21" w:rsidP="003A2C21">
      <w:pPr>
        <w:jc w:val="both"/>
        <w:rPr>
          <w:rFonts w:ascii="Arial" w:hAnsi="Arial" w:cs="Arial"/>
          <w:b/>
          <w:sz w:val="22"/>
          <w:szCs w:val="22"/>
          <w:lang w:val="es-ES"/>
        </w:rPr>
      </w:pPr>
      <w:r w:rsidRPr="008D5937">
        <w:rPr>
          <w:rFonts w:ascii="Arial" w:hAnsi="Arial" w:cs="Arial"/>
          <w:b/>
          <w:sz w:val="22"/>
          <w:szCs w:val="22"/>
          <w:lang w:val="es-ES"/>
        </w:rPr>
        <w:t>1. Procedencia</w:t>
      </w:r>
    </w:p>
    <w:p w14:paraId="2A8E8648" w14:textId="77777777" w:rsidR="003A2C21" w:rsidRPr="008D5937" w:rsidRDefault="003A2C21" w:rsidP="003A2C21">
      <w:pPr>
        <w:jc w:val="both"/>
        <w:rPr>
          <w:rFonts w:ascii="Arial" w:hAnsi="Arial" w:cs="Arial"/>
          <w:b/>
          <w:sz w:val="22"/>
          <w:szCs w:val="22"/>
          <w:lang w:val="es-ES"/>
        </w:rPr>
      </w:pPr>
    </w:p>
    <w:p w14:paraId="38C24243" w14:textId="77777777" w:rsidR="003A2C21" w:rsidRPr="008D5937" w:rsidRDefault="003A2C21" w:rsidP="003A2C21">
      <w:pPr>
        <w:tabs>
          <w:tab w:val="left" w:pos="0"/>
          <w:tab w:val="left" w:pos="284"/>
        </w:tabs>
        <w:jc w:val="both"/>
        <w:rPr>
          <w:rFonts w:ascii="Arial" w:hAnsi="Arial" w:cs="Arial"/>
          <w:sz w:val="22"/>
          <w:szCs w:val="22"/>
          <w:lang w:val="es-MX"/>
        </w:rPr>
      </w:pPr>
      <w:r>
        <w:rPr>
          <w:rFonts w:ascii="Arial" w:hAnsi="Arial" w:cs="Arial"/>
          <w:sz w:val="22"/>
          <w:szCs w:val="22"/>
          <w:lang w:val="es-MX"/>
        </w:rPr>
        <w:t>En</w:t>
      </w:r>
      <w:r w:rsidRPr="008D5937">
        <w:rPr>
          <w:rFonts w:ascii="Arial" w:hAnsi="Arial" w:cs="Arial"/>
          <w:sz w:val="22"/>
          <w:szCs w:val="22"/>
          <w:lang w:val="es-MX"/>
        </w:rPr>
        <w:t xml:space="preserve"> relación </w:t>
      </w:r>
      <w:r>
        <w:rPr>
          <w:rFonts w:ascii="Arial" w:hAnsi="Arial" w:cs="Arial"/>
          <w:sz w:val="22"/>
          <w:szCs w:val="22"/>
          <w:lang w:val="es-MX"/>
        </w:rPr>
        <w:t>con</w:t>
      </w:r>
      <w:r w:rsidRPr="008D5937">
        <w:rPr>
          <w:rFonts w:ascii="Arial" w:hAnsi="Arial" w:cs="Arial"/>
          <w:sz w:val="22"/>
          <w:szCs w:val="22"/>
          <w:lang w:val="es-MX"/>
        </w:rPr>
        <w:t xml:space="preserve"> los recursos que proceden contra un acto administrativo definitivo, el artículo 74 de la Ley 1437 de 2011 - </w:t>
      </w:r>
      <w:r w:rsidRPr="008D5937">
        <w:rPr>
          <w:rFonts w:ascii="Arial" w:hAnsi="Arial" w:cs="Arial"/>
          <w:bCs/>
          <w:sz w:val="22"/>
          <w:szCs w:val="22"/>
        </w:rPr>
        <w:t>Código de Procedimiento Administrativo y de lo Contencioso Administrativo</w:t>
      </w:r>
      <w:r w:rsidRPr="008D5937">
        <w:rPr>
          <w:rFonts w:ascii="Arial" w:hAnsi="Arial" w:cs="Arial"/>
          <w:b/>
          <w:bCs/>
          <w:sz w:val="22"/>
          <w:szCs w:val="22"/>
        </w:rPr>
        <w:t xml:space="preserve">, </w:t>
      </w:r>
      <w:r w:rsidRPr="008D5937">
        <w:rPr>
          <w:rFonts w:ascii="Arial" w:hAnsi="Arial" w:cs="Arial"/>
          <w:sz w:val="22"/>
          <w:szCs w:val="22"/>
          <w:lang w:val="es-MX"/>
        </w:rPr>
        <w:t xml:space="preserve">establece que: </w:t>
      </w:r>
    </w:p>
    <w:p w14:paraId="0F74D078" w14:textId="77777777" w:rsidR="003A2C21" w:rsidRPr="008D5937" w:rsidRDefault="003A2C21" w:rsidP="003A2C21">
      <w:pPr>
        <w:tabs>
          <w:tab w:val="left" w:pos="0"/>
          <w:tab w:val="left" w:pos="284"/>
        </w:tabs>
        <w:jc w:val="both"/>
        <w:rPr>
          <w:rFonts w:ascii="Arial" w:hAnsi="Arial" w:cs="Arial"/>
          <w:sz w:val="22"/>
          <w:szCs w:val="22"/>
          <w:lang w:val="es-MX"/>
        </w:rPr>
      </w:pPr>
    </w:p>
    <w:p w14:paraId="0F6E540D" w14:textId="77777777" w:rsidR="003A2C21" w:rsidRPr="008D5937" w:rsidRDefault="003A2C21" w:rsidP="002E0744">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“ARTÍCULO 74. RECURSOS CONTRA LOS ACTOS ADMINISTRATIVOS. Por regla general, contra los actos definitivos procederán los siguientes recursos:</w:t>
      </w:r>
    </w:p>
    <w:p w14:paraId="169B4301" w14:textId="77777777" w:rsidR="003A2C21" w:rsidRPr="008D5937" w:rsidRDefault="003A2C21" w:rsidP="002E0744">
      <w:pPr>
        <w:autoSpaceDE w:val="0"/>
        <w:autoSpaceDN w:val="0"/>
        <w:adjustRightInd w:val="0"/>
        <w:ind w:left="708" w:right="284"/>
        <w:jc w:val="both"/>
        <w:rPr>
          <w:rFonts w:ascii="Arial" w:hAnsi="Arial" w:cs="Arial"/>
          <w:b/>
          <w:i/>
          <w:sz w:val="22"/>
          <w:szCs w:val="22"/>
          <w:u w:val="single"/>
          <w:lang w:val="es-ES"/>
        </w:rPr>
      </w:pPr>
      <w:r w:rsidRPr="008D5937">
        <w:rPr>
          <w:rFonts w:ascii="Arial" w:hAnsi="Arial" w:cs="Arial"/>
          <w:i/>
          <w:sz w:val="22"/>
          <w:szCs w:val="22"/>
          <w:lang w:val="es-ES"/>
        </w:rPr>
        <w:t>1</w:t>
      </w:r>
      <w:r w:rsidRPr="008D5937">
        <w:rPr>
          <w:rFonts w:ascii="Arial" w:hAnsi="Arial" w:cs="Arial"/>
          <w:b/>
          <w:i/>
          <w:sz w:val="22"/>
          <w:szCs w:val="22"/>
          <w:u w:val="single"/>
          <w:lang w:val="es-ES"/>
        </w:rPr>
        <w:t>. El de reposición, ante quien expidió la decisión para que la aclare, modifique, adicione o revoque.</w:t>
      </w:r>
    </w:p>
    <w:p w14:paraId="5D662D64" w14:textId="77777777" w:rsidR="003A2C21" w:rsidRPr="008D5937" w:rsidRDefault="003A2C21" w:rsidP="002E0744">
      <w:pPr>
        <w:autoSpaceDE w:val="0"/>
        <w:autoSpaceDN w:val="0"/>
        <w:adjustRightInd w:val="0"/>
        <w:ind w:left="708" w:right="284"/>
        <w:jc w:val="both"/>
        <w:rPr>
          <w:rFonts w:ascii="Arial" w:hAnsi="Arial" w:cs="Arial"/>
          <w:b/>
          <w:i/>
          <w:sz w:val="22"/>
          <w:szCs w:val="22"/>
          <w:u w:val="single"/>
          <w:lang w:val="es-ES"/>
        </w:rPr>
      </w:pPr>
      <w:r w:rsidRPr="008D5937">
        <w:rPr>
          <w:rFonts w:ascii="Arial" w:hAnsi="Arial" w:cs="Arial"/>
          <w:i/>
          <w:sz w:val="22"/>
          <w:szCs w:val="22"/>
          <w:lang w:val="es-ES"/>
        </w:rPr>
        <w:t>2. El de apelación, para ante el inmediato superior administrativo o funcional con el mismo propósito.</w:t>
      </w:r>
    </w:p>
    <w:p w14:paraId="33E83FBA" w14:textId="77777777" w:rsidR="003A2C21" w:rsidRPr="008D5937" w:rsidRDefault="003A2C21" w:rsidP="002E0744">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No habrá apelación de las decisiones de los ministros, directores de Departamento Administrativo, superintendentes y representantes legales de las entidades descentralizadas ni de los directores u organismos superiores de los órganos constitucionales autónomos.</w:t>
      </w:r>
    </w:p>
    <w:p w14:paraId="6FE199B6" w14:textId="77777777" w:rsidR="003A2C21" w:rsidRPr="008D5937" w:rsidRDefault="003A2C21" w:rsidP="002E0744">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 xml:space="preserve">Tampoco serán apelables aquellas decisiones proferidas por los representantes legales y jefes superiores de las entidades y organismos del nivel territorial. </w:t>
      </w:r>
    </w:p>
    <w:p w14:paraId="3CD2BE79" w14:textId="77777777" w:rsidR="003A2C21" w:rsidRPr="008D5937" w:rsidRDefault="003A2C21" w:rsidP="002E0744">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3. El de queja, cuando se rechace el de apelación.</w:t>
      </w:r>
    </w:p>
    <w:p w14:paraId="7BE1FC66" w14:textId="77777777" w:rsidR="003A2C21" w:rsidRPr="008D5937" w:rsidRDefault="003A2C21" w:rsidP="002E0744">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El recurso de queja es facultativo y podrá interponerse directamente ante el superior del funcionario que dictó la decisión, mediante escrito al que deberá acompañarse copia de la providencia que haya negado el recurso.</w:t>
      </w:r>
    </w:p>
    <w:p w14:paraId="279CCA18" w14:textId="77777777" w:rsidR="003A2C21" w:rsidRPr="008D5937" w:rsidRDefault="003A2C21" w:rsidP="002E0744">
      <w:pPr>
        <w:autoSpaceDE w:val="0"/>
        <w:autoSpaceDN w:val="0"/>
        <w:adjustRightInd w:val="0"/>
        <w:ind w:left="708" w:right="284"/>
        <w:jc w:val="both"/>
        <w:rPr>
          <w:rFonts w:ascii="Arial" w:hAnsi="Arial" w:cs="Arial"/>
          <w:i/>
          <w:sz w:val="22"/>
          <w:szCs w:val="22"/>
          <w:lang w:val="es-ES"/>
        </w:rPr>
      </w:pPr>
      <w:r w:rsidRPr="008D5937">
        <w:rPr>
          <w:rFonts w:ascii="Arial" w:hAnsi="Arial" w:cs="Arial"/>
          <w:i/>
          <w:sz w:val="22"/>
          <w:szCs w:val="22"/>
          <w:lang w:val="es-ES"/>
        </w:rPr>
        <w:t>De este recurso se podrá hacer uso dentro de los cinco (5) días siguientes a la notificación de la decisión.</w:t>
      </w:r>
    </w:p>
    <w:p w14:paraId="4501CA11" w14:textId="77777777" w:rsidR="003A2C21" w:rsidRPr="008D5937" w:rsidRDefault="003A2C21" w:rsidP="002E0744">
      <w:pPr>
        <w:autoSpaceDE w:val="0"/>
        <w:autoSpaceDN w:val="0"/>
        <w:adjustRightInd w:val="0"/>
        <w:ind w:left="708" w:right="284"/>
        <w:jc w:val="both"/>
        <w:rPr>
          <w:rFonts w:ascii="Arial" w:hAnsi="Arial" w:cs="Arial"/>
          <w:sz w:val="22"/>
          <w:szCs w:val="22"/>
          <w:lang w:val="es-ES"/>
        </w:rPr>
      </w:pPr>
      <w:r w:rsidRPr="008D5937">
        <w:rPr>
          <w:rFonts w:ascii="Arial" w:hAnsi="Arial" w:cs="Arial"/>
          <w:i/>
          <w:sz w:val="22"/>
          <w:szCs w:val="22"/>
          <w:lang w:val="es-ES"/>
        </w:rPr>
        <w:t xml:space="preserve">Recibido el escrito, el superior ordenará inmediatamente la remisión del expediente, y decidirá lo que sea del caso.” </w:t>
      </w:r>
    </w:p>
    <w:p w14:paraId="70B1D5B9" w14:textId="77777777" w:rsidR="003A2C21" w:rsidRPr="008D5937" w:rsidRDefault="003A2C21" w:rsidP="003A2C21">
      <w:pPr>
        <w:autoSpaceDE w:val="0"/>
        <w:autoSpaceDN w:val="0"/>
        <w:adjustRightInd w:val="0"/>
        <w:jc w:val="both"/>
        <w:rPr>
          <w:rFonts w:ascii="Arial" w:hAnsi="Arial" w:cs="Arial"/>
          <w:sz w:val="22"/>
          <w:szCs w:val="22"/>
          <w:lang w:val="es-ES"/>
        </w:rPr>
      </w:pPr>
    </w:p>
    <w:p w14:paraId="71611B75" w14:textId="53F08CC8" w:rsidR="003A2C21" w:rsidRPr="008D5937" w:rsidRDefault="003A2C21" w:rsidP="003A2C21">
      <w:pPr>
        <w:autoSpaceDE w:val="0"/>
        <w:autoSpaceDN w:val="0"/>
        <w:adjustRightInd w:val="0"/>
        <w:jc w:val="both"/>
        <w:rPr>
          <w:rFonts w:ascii="Arial" w:eastAsia="Tahoma" w:hAnsi="Arial" w:cs="Arial"/>
          <w:sz w:val="22"/>
          <w:szCs w:val="22"/>
        </w:rPr>
      </w:pPr>
      <w:r w:rsidRPr="008D5937">
        <w:rPr>
          <w:rFonts w:ascii="Arial" w:hAnsi="Arial" w:cs="Arial"/>
          <w:sz w:val="22"/>
          <w:szCs w:val="22"/>
          <w:lang w:val="es-ES"/>
        </w:rPr>
        <w:t xml:space="preserve">En ese orden, como la Resolución No. </w:t>
      </w:r>
      <w:r w:rsidR="00572DA1">
        <w:rPr>
          <w:rFonts w:ascii="Arial" w:eastAsia="Tahoma" w:hAnsi="Arial" w:cs="Arial"/>
          <w:sz w:val="22"/>
          <w:szCs w:val="22"/>
        </w:rPr>
        <w:t>30 del 23 de enero de 2025</w:t>
      </w:r>
      <w:r w:rsidRPr="008D5937">
        <w:rPr>
          <w:rFonts w:ascii="Arial" w:eastAsia="Tahoma" w:hAnsi="Arial" w:cs="Arial"/>
          <w:sz w:val="22"/>
          <w:szCs w:val="22"/>
        </w:rPr>
        <w:t xml:space="preserve">, </w:t>
      </w:r>
      <w:r w:rsidRPr="008D5937">
        <w:rPr>
          <w:rFonts w:ascii="Arial" w:hAnsi="Arial" w:cs="Arial"/>
          <w:sz w:val="22"/>
          <w:szCs w:val="22"/>
          <w:lang w:val="es-ES"/>
        </w:rPr>
        <w:t xml:space="preserve">es un acto </w:t>
      </w:r>
      <w:r>
        <w:rPr>
          <w:rFonts w:ascii="Arial" w:hAnsi="Arial" w:cs="Arial"/>
          <w:sz w:val="22"/>
          <w:szCs w:val="22"/>
          <w:lang w:val="es-ES"/>
        </w:rPr>
        <w:t>a</w:t>
      </w:r>
      <w:r w:rsidRPr="008D5937">
        <w:rPr>
          <w:rFonts w:ascii="Arial" w:hAnsi="Arial" w:cs="Arial"/>
          <w:sz w:val="22"/>
          <w:szCs w:val="22"/>
          <w:lang w:val="es-ES"/>
        </w:rPr>
        <w:t>dministrativo definitivo, el recurso de reposición</w:t>
      </w:r>
      <w:r w:rsidR="009B0877">
        <w:rPr>
          <w:rFonts w:ascii="Arial" w:hAnsi="Arial" w:cs="Arial"/>
          <w:sz w:val="22"/>
          <w:szCs w:val="22"/>
          <w:lang w:val="es-ES"/>
        </w:rPr>
        <w:t xml:space="preserve"> y en subsidio de </w:t>
      </w:r>
      <w:r w:rsidR="002E0744">
        <w:rPr>
          <w:rFonts w:ascii="Arial" w:hAnsi="Arial" w:cs="Arial"/>
          <w:sz w:val="22"/>
          <w:szCs w:val="22"/>
          <w:lang w:val="es-ES"/>
        </w:rPr>
        <w:t>apelación</w:t>
      </w:r>
      <w:r w:rsidRPr="008D5937">
        <w:rPr>
          <w:rFonts w:ascii="Arial" w:hAnsi="Arial" w:cs="Arial"/>
          <w:sz w:val="22"/>
          <w:szCs w:val="22"/>
          <w:lang w:val="es-ES"/>
        </w:rPr>
        <w:t xml:space="preserve"> presentado por la parte interesada es procedente, conforme a lo dispuesto en la norma transcrita.</w:t>
      </w:r>
    </w:p>
    <w:p w14:paraId="35673E15" w14:textId="77777777" w:rsidR="003A2C21" w:rsidRPr="008D5937" w:rsidRDefault="003A2C21" w:rsidP="003A2C21">
      <w:pPr>
        <w:autoSpaceDE w:val="0"/>
        <w:autoSpaceDN w:val="0"/>
        <w:adjustRightInd w:val="0"/>
        <w:jc w:val="both"/>
        <w:rPr>
          <w:rFonts w:ascii="Arial" w:hAnsi="Arial" w:cs="Arial"/>
          <w:sz w:val="22"/>
          <w:szCs w:val="22"/>
          <w:lang w:val="es-ES"/>
        </w:rPr>
      </w:pPr>
    </w:p>
    <w:p w14:paraId="54C578BB" w14:textId="77777777" w:rsidR="003A2C21" w:rsidRPr="008D5937" w:rsidRDefault="003A2C21" w:rsidP="003A2C21">
      <w:pPr>
        <w:tabs>
          <w:tab w:val="left" w:pos="709"/>
          <w:tab w:val="left" w:pos="1418"/>
          <w:tab w:val="left" w:pos="3744"/>
        </w:tabs>
        <w:jc w:val="both"/>
        <w:rPr>
          <w:rFonts w:ascii="Arial" w:hAnsi="Arial" w:cs="Arial"/>
          <w:b/>
          <w:sz w:val="22"/>
          <w:szCs w:val="22"/>
          <w:lang w:val="es-ES"/>
        </w:rPr>
      </w:pPr>
      <w:r w:rsidRPr="008D5937">
        <w:rPr>
          <w:rFonts w:ascii="Arial" w:hAnsi="Arial" w:cs="Arial"/>
          <w:b/>
          <w:sz w:val="22"/>
          <w:szCs w:val="22"/>
          <w:lang w:val="es-ES"/>
        </w:rPr>
        <w:t>2. Oportunidad</w:t>
      </w:r>
    </w:p>
    <w:p w14:paraId="36B57440" w14:textId="77777777" w:rsidR="003A2C21" w:rsidRPr="008D5937" w:rsidRDefault="003A2C21" w:rsidP="003A2C21">
      <w:pPr>
        <w:tabs>
          <w:tab w:val="left" w:pos="709"/>
          <w:tab w:val="left" w:pos="1418"/>
          <w:tab w:val="left" w:pos="3744"/>
        </w:tabs>
        <w:jc w:val="both"/>
        <w:rPr>
          <w:rFonts w:ascii="Arial" w:hAnsi="Arial" w:cs="Arial"/>
          <w:b/>
          <w:sz w:val="22"/>
          <w:szCs w:val="22"/>
          <w:lang w:val="es-MX"/>
        </w:rPr>
      </w:pPr>
    </w:p>
    <w:p w14:paraId="6A399EAD" w14:textId="3AD120D3" w:rsidR="003A2C21" w:rsidRPr="008D5937" w:rsidRDefault="003A2C21" w:rsidP="003A2C21">
      <w:pPr>
        <w:jc w:val="both"/>
        <w:rPr>
          <w:rFonts w:ascii="Arial" w:eastAsia="Tahoma" w:hAnsi="Arial" w:cs="Arial"/>
          <w:sz w:val="22"/>
          <w:szCs w:val="22"/>
        </w:rPr>
      </w:pPr>
      <w:r w:rsidRPr="008D5937">
        <w:rPr>
          <w:rFonts w:ascii="Arial" w:hAnsi="Arial" w:cs="Arial"/>
          <w:sz w:val="22"/>
          <w:szCs w:val="22"/>
        </w:rPr>
        <w:t>Revisado el expediente se verificó que el recurso de reposición se presentó dentro del término establecido en el artículo 76 de la Ley 1437 de 2011</w:t>
      </w:r>
      <w:r w:rsidRPr="008D5937">
        <w:rPr>
          <w:rStyle w:val="Refdenotaalpie"/>
          <w:rFonts w:ascii="Arial" w:hAnsi="Arial" w:cs="Arial"/>
          <w:sz w:val="22"/>
          <w:szCs w:val="22"/>
        </w:rPr>
        <w:footnoteReference w:id="1"/>
      </w:r>
      <w:r w:rsidRPr="008D5937">
        <w:rPr>
          <w:rFonts w:ascii="Arial" w:hAnsi="Arial" w:cs="Arial"/>
          <w:sz w:val="22"/>
          <w:szCs w:val="22"/>
        </w:rPr>
        <w:t xml:space="preserve">, toda vez que, del Acto Administrativo sancionatorio, </w:t>
      </w:r>
      <w:r w:rsidRPr="008D5937">
        <w:rPr>
          <w:rFonts w:ascii="Arial" w:eastAsia="Tahoma" w:hAnsi="Arial" w:cs="Arial"/>
          <w:sz w:val="22"/>
          <w:szCs w:val="22"/>
        </w:rPr>
        <w:t xml:space="preserve">se notifica </w:t>
      </w:r>
      <w:r w:rsidR="002E0744">
        <w:rPr>
          <w:rFonts w:ascii="Arial" w:eastAsia="Tahoma" w:hAnsi="Arial" w:cs="Arial"/>
          <w:sz w:val="22"/>
          <w:szCs w:val="22"/>
        </w:rPr>
        <w:t xml:space="preserve">de manera personal </w:t>
      </w:r>
      <w:r w:rsidRPr="008D5937">
        <w:rPr>
          <w:rFonts w:ascii="Arial" w:eastAsia="Tahoma" w:hAnsi="Arial" w:cs="Arial"/>
          <w:sz w:val="22"/>
          <w:szCs w:val="22"/>
        </w:rPr>
        <w:t xml:space="preserve">al </w:t>
      </w:r>
      <w:r w:rsidR="002E0744">
        <w:rPr>
          <w:rFonts w:ascii="Arial" w:eastAsia="Tahoma" w:hAnsi="Arial" w:cs="Arial"/>
          <w:sz w:val="22"/>
          <w:szCs w:val="22"/>
        </w:rPr>
        <w:t xml:space="preserve">autorizado </w:t>
      </w:r>
      <w:r w:rsidRPr="008D5937">
        <w:rPr>
          <w:rFonts w:ascii="Arial" w:eastAsia="Tahoma" w:hAnsi="Arial" w:cs="Arial"/>
          <w:sz w:val="22"/>
          <w:szCs w:val="22"/>
        </w:rPr>
        <w:t xml:space="preserve">de la sociedad enajenadora </w:t>
      </w:r>
      <w:r w:rsidRPr="008D5937">
        <w:rPr>
          <w:rFonts w:ascii="Arial" w:hAnsi="Arial" w:cs="Arial"/>
          <w:sz w:val="22"/>
          <w:szCs w:val="22"/>
        </w:rPr>
        <w:t>el</w:t>
      </w:r>
      <w:r w:rsidRPr="008D5937">
        <w:rPr>
          <w:rFonts w:ascii="Arial" w:eastAsia="Tahoma" w:hAnsi="Arial" w:cs="Arial"/>
          <w:sz w:val="22"/>
          <w:szCs w:val="22"/>
        </w:rPr>
        <w:t xml:space="preserve"> </w:t>
      </w:r>
      <w:r w:rsidR="002E0744">
        <w:rPr>
          <w:rFonts w:ascii="Arial" w:eastAsia="Tahoma" w:hAnsi="Arial" w:cs="Arial"/>
          <w:sz w:val="22"/>
          <w:szCs w:val="22"/>
        </w:rPr>
        <w:t>07 de mayo de 2025</w:t>
      </w:r>
      <w:r w:rsidRPr="008D5937">
        <w:rPr>
          <w:rFonts w:ascii="Arial" w:eastAsia="Tahoma" w:hAnsi="Arial" w:cs="Arial"/>
          <w:sz w:val="22"/>
          <w:szCs w:val="22"/>
        </w:rPr>
        <w:t>, presentando</w:t>
      </w:r>
      <w:r w:rsidRPr="008D5937">
        <w:rPr>
          <w:rFonts w:ascii="Arial" w:hAnsi="Arial" w:cs="Arial"/>
          <w:sz w:val="22"/>
          <w:szCs w:val="22"/>
        </w:rPr>
        <w:t xml:space="preserve"> el recurso de reposición el </w:t>
      </w:r>
      <w:r w:rsidR="002E0744">
        <w:rPr>
          <w:rFonts w:ascii="Arial" w:hAnsi="Arial" w:cs="Arial"/>
          <w:sz w:val="22"/>
          <w:szCs w:val="22"/>
        </w:rPr>
        <w:t>19 de mayo de 2025</w:t>
      </w:r>
      <w:r w:rsidRPr="008D5937">
        <w:rPr>
          <w:rFonts w:ascii="Arial" w:hAnsi="Arial" w:cs="Arial"/>
          <w:sz w:val="22"/>
          <w:szCs w:val="22"/>
        </w:rPr>
        <w:t xml:space="preserve">, en contra de la </w:t>
      </w:r>
      <w:r w:rsidRPr="008D5937">
        <w:rPr>
          <w:rFonts w:ascii="Arial" w:hAnsi="Arial" w:cs="Arial"/>
          <w:sz w:val="22"/>
          <w:szCs w:val="22"/>
          <w:lang w:val="es-ES"/>
        </w:rPr>
        <w:t xml:space="preserve">Resolución No. </w:t>
      </w:r>
      <w:r w:rsidR="00572DA1">
        <w:rPr>
          <w:rFonts w:ascii="Arial" w:eastAsia="Tahoma" w:hAnsi="Arial" w:cs="Arial"/>
          <w:sz w:val="22"/>
          <w:szCs w:val="22"/>
        </w:rPr>
        <w:t>30 del 23 de enero de 2025</w:t>
      </w:r>
      <w:r w:rsidRPr="008D5937">
        <w:rPr>
          <w:rFonts w:ascii="Arial" w:eastAsia="Tahoma" w:hAnsi="Arial" w:cs="Arial"/>
          <w:sz w:val="22"/>
          <w:szCs w:val="22"/>
        </w:rPr>
        <w:t>, es decir, dentro de los diez (10) días siguientes a la diligencia de notificación.</w:t>
      </w:r>
    </w:p>
    <w:p w14:paraId="3F895479" w14:textId="77777777" w:rsidR="003A2C21" w:rsidRPr="008D5937" w:rsidRDefault="003A2C21" w:rsidP="003A2C21">
      <w:pPr>
        <w:tabs>
          <w:tab w:val="left" w:pos="3800"/>
        </w:tabs>
        <w:jc w:val="both"/>
        <w:rPr>
          <w:rFonts w:ascii="Arial" w:hAnsi="Arial" w:cs="Arial"/>
          <w:b/>
          <w:sz w:val="22"/>
          <w:szCs w:val="22"/>
          <w:lang w:val="es-ES"/>
        </w:rPr>
      </w:pPr>
    </w:p>
    <w:p w14:paraId="127A88F1" w14:textId="77777777" w:rsidR="003A2C21" w:rsidRPr="008D5937" w:rsidRDefault="003A2C21" w:rsidP="003A2C21">
      <w:pPr>
        <w:tabs>
          <w:tab w:val="left" w:pos="3800"/>
        </w:tabs>
        <w:jc w:val="both"/>
        <w:rPr>
          <w:rFonts w:ascii="Arial" w:hAnsi="Arial" w:cs="Arial"/>
          <w:b/>
          <w:sz w:val="22"/>
          <w:szCs w:val="22"/>
          <w:lang w:val="es-ES"/>
        </w:rPr>
      </w:pPr>
      <w:r w:rsidRPr="008D5937">
        <w:rPr>
          <w:rFonts w:ascii="Arial" w:hAnsi="Arial" w:cs="Arial"/>
          <w:b/>
          <w:sz w:val="22"/>
          <w:szCs w:val="22"/>
          <w:lang w:val="es-ES"/>
        </w:rPr>
        <w:t>3. Competencia</w:t>
      </w:r>
      <w:r w:rsidRPr="008D5937">
        <w:rPr>
          <w:rFonts w:ascii="Arial" w:hAnsi="Arial" w:cs="Arial"/>
          <w:b/>
          <w:sz w:val="22"/>
          <w:szCs w:val="22"/>
          <w:lang w:val="es-ES"/>
        </w:rPr>
        <w:tab/>
      </w:r>
    </w:p>
    <w:p w14:paraId="01E43702" w14:textId="77777777" w:rsidR="003A2C21" w:rsidRPr="008D5937" w:rsidRDefault="003A2C21" w:rsidP="003A2C21">
      <w:pPr>
        <w:jc w:val="both"/>
        <w:rPr>
          <w:rFonts w:ascii="Arial" w:hAnsi="Arial" w:cs="Arial"/>
          <w:sz w:val="22"/>
          <w:szCs w:val="22"/>
        </w:rPr>
      </w:pPr>
    </w:p>
    <w:p w14:paraId="2B1EF6B5" w14:textId="77777777" w:rsidR="003A2C21" w:rsidRPr="008D5937" w:rsidRDefault="003A2C21" w:rsidP="003A2C21">
      <w:pPr>
        <w:jc w:val="both"/>
        <w:rPr>
          <w:rFonts w:ascii="Arial" w:hAnsi="Arial" w:cs="Arial"/>
          <w:sz w:val="22"/>
          <w:szCs w:val="22"/>
        </w:rPr>
      </w:pPr>
      <w:r w:rsidRPr="008D5937">
        <w:rPr>
          <w:rFonts w:ascii="Arial" w:hAnsi="Arial" w:cs="Arial"/>
          <w:sz w:val="22"/>
          <w:szCs w:val="22"/>
        </w:rPr>
        <w:t xml:space="preserve">En lo concerniente al funcionario competente para decidir el recurso de reposición, el citado </w:t>
      </w:r>
      <w:r w:rsidRPr="008D5937">
        <w:rPr>
          <w:rFonts w:ascii="Arial" w:hAnsi="Arial" w:cs="Arial"/>
          <w:sz w:val="22"/>
          <w:szCs w:val="22"/>
          <w:lang w:val="es-MX"/>
        </w:rPr>
        <w:t xml:space="preserve">artículo 74 del </w:t>
      </w:r>
      <w:r w:rsidRPr="008D5937">
        <w:rPr>
          <w:rFonts w:ascii="Arial" w:hAnsi="Arial" w:cs="Arial"/>
          <w:bCs/>
          <w:sz w:val="22"/>
          <w:szCs w:val="22"/>
        </w:rPr>
        <w:t>Código de Procedimiento Administrativo y de lo Contencioso Administrativo,</w:t>
      </w:r>
      <w:r w:rsidRPr="008D5937">
        <w:rPr>
          <w:rFonts w:ascii="Arial" w:hAnsi="Arial" w:cs="Arial"/>
          <w:sz w:val="22"/>
          <w:szCs w:val="22"/>
        </w:rPr>
        <w:t xml:space="preserve"> dispone que procede ante quien expidió la decisión para que la aclare, modifique, adicione o revoque.</w:t>
      </w:r>
    </w:p>
    <w:p w14:paraId="5DEB5353" w14:textId="77777777" w:rsidR="003A2C21" w:rsidRPr="008D5937" w:rsidRDefault="003A2C21" w:rsidP="003A2C21">
      <w:pPr>
        <w:jc w:val="both"/>
        <w:rPr>
          <w:rFonts w:ascii="Arial" w:hAnsi="Arial" w:cs="Arial"/>
          <w:sz w:val="22"/>
          <w:szCs w:val="22"/>
        </w:rPr>
      </w:pPr>
    </w:p>
    <w:p w14:paraId="27E87244" w14:textId="441D4D02" w:rsidR="003A2C21" w:rsidRPr="008D5937" w:rsidRDefault="003A2C21" w:rsidP="003A2C21">
      <w:pPr>
        <w:jc w:val="both"/>
        <w:rPr>
          <w:rFonts w:ascii="Arial" w:hAnsi="Arial" w:cs="Arial"/>
          <w:sz w:val="22"/>
          <w:szCs w:val="22"/>
        </w:rPr>
      </w:pPr>
      <w:r w:rsidRPr="008D5937">
        <w:rPr>
          <w:rFonts w:ascii="Arial" w:hAnsi="Arial" w:cs="Arial"/>
          <w:sz w:val="22"/>
          <w:szCs w:val="22"/>
        </w:rPr>
        <w:t>A su turno, el artículo 2</w:t>
      </w:r>
      <w:r w:rsidR="00D005E0">
        <w:rPr>
          <w:rFonts w:ascii="Arial" w:hAnsi="Arial" w:cs="Arial"/>
          <w:sz w:val="22"/>
          <w:szCs w:val="22"/>
        </w:rPr>
        <w:t>5</w:t>
      </w:r>
      <w:r w:rsidRPr="008D5937">
        <w:rPr>
          <w:rFonts w:ascii="Arial" w:hAnsi="Arial" w:cs="Arial"/>
          <w:sz w:val="22"/>
          <w:szCs w:val="22"/>
        </w:rPr>
        <w:t xml:space="preserve"> del Decreto Distrital </w:t>
      </w:r>
      <w:r w:rsidR="00D005E0">
        <w:rPr>
          <w:rFonts w:ascii="Arial" w:hAnsi="Arial" w:cs="Arial"/>
          <w:sz w:val="22"/>
          <w:szCs w:val="22"/>
        </w:rPr>
        <w:t>510 del 2025</w:t>
      </w:r>
      <w:r w:rsidRPr="008D5937">
        <w:rPr>
          <w:rFonts w:ascii="Arial" w:hAnsi="Arial" w:cs="Arial"/>
          <w:sz w:val="22"/>
          <w:szCs w:val="22"/>
        </w:rPr>
        <w:t xml:space="preserve"> </w:t>
      </w:r>
      <w:r w:rsidRPr="008D5937">
        <w:rPr>
          <w:rFonts w:ascii="Arial" w:hAnsi="Arial" w:cs="Arial"/>
          <w:bCs/>
          <w:i/>
          <w:sz w:val="22"/>
          <w:szCs w:val="22"/>
        </w:rPr>
        <w:t>"</w:t>
      </w:r>
      <w:r w:rsidR="00D005E0" w:rsidRPr="00D005E0">
        <w:rPr>
          <w:rFonts w:ascii="Arial" w:hAnsi="Arial" w:cs="Arial"/>
          <w:bCs/>
          <w:i/>
          <w:sz w:val="22"/>
          <w:szCs w:val="22"/>
        </w:rPr>
        <w:t>Por el cual se establece la estructura organizacional de la Secretaría Distrital del Hábita</w:t>
      </w:r>
      <w:r w:rsidR="00D005E0">
        <w:rPr>
          <w:rFonts w:ascii="Arial" w:hAnsi="Arial" w:cs="Arial"/>
          <w:bCs/>
          <w:i/>
          <w:sz w:val="22"/>
          <w:szCs w:val="22"/>
        </w:rPr>
        <w:t>t</w:t>
      </w:r>
      <w:r w:rsidRPr="008D5937">
        <w:rPr>
          <w:rFonts w:ascii="Arial" w:hAnsi="Arial" w:cs="Arial"/>
          <w:bCs/>
          <w:i/>
          <w:sz w:val="22"/>
          <w:szCs w:val="22"/>
        </w:rPr>
        <w:t>"</w:t>
      </w:r>
      <w:r w:rsidRPr="008D5937">
        <w:rPr>
          <w:rFonts w:ascii="Arial" w:hAnsi="Arial" w:cs="Arial"/>
          <w:sz w:val="22"/>
          <w:szCs w:val="22"/>
        </w:rPr>
        <w:t>, señala entre las funciones de este Despacho:</w:t>
      </w:r>
    </w:p>
    <w:p w14:paraId="1B746FC0" w14:textId="77777777" w:rsidR="003A2C21" w:rsidRPr="008D5937" w:rsidRDefault="003A2C21" w:rsidP="003A2C21">
      <w:pPr>
        <w:jc w:val="both"/>
        <w:rPr>
          <w:rFonts w:ascii="Arial" w:hAnsi="Arial" w:cs="Arial"/>
          <w:sz w:val="22"/>
          <w:szCs w:val="22"/>
        </w:rPr>
      </w:pPr>
    </w:p>
    <w:p w14:paraId="5CEFD271" w14:textId="75D7B06F" w:rsidR="003A2C21" w:rsidRPr="008D5937" w:rsidRDefault="003A2C21" w:rsidP="003A2C21">
      <w:pPr>
        <w:autoSpaceDE w:val="0"/>
        <w:autoSpaceDN w:val="0"/>
        <w:adjustRightInd w:val="0"/>
        <w:ind w:left="284" w:right="284"/>
        <w:jc w:val="both"/>
        <w:rPr>
          <w:rFonts w:ascii="Arial" w:hAnsi="Arial" w:cs="Arial"/>
          <w:i/>
          <w:sz w:val="22"/>
          <w:szCs w:val="22"/>
        </w:rPr>
      </w:pPr>
      <w:r w:rsidRPr="008D5937">
        <w:rPr>
          <w:rFonts w:ascii="Arial" w:hAnsi="Arial" w:cs="Arial"/>
          <w:i/>
          <w:sz w:val="22"/>
          <w:szCs w:val="22"/>
        </w:rPr>
        <w:t xml:space="preserve">“(…) </w:t>
      </w:r>
      <w:r w:rsidR="00D005E0" w:rsidRPr="00D005E0">
        <w:rPr>
          <w:rFonts w:ascii="Arial" w:hAnsi="Arial" w:cs="Arial"/>
          <w:i/>
          <w:sz w:val="22"/>
          <w:szCs w:val="22"/>
        </w:rPr>
        <w:t>b. Expedir los actos administrativos que sean necesarios para tramitar, sustanciar y resolver las investigaciones y las demás actuaciones administrativas que se adelanten en ejercicio de las facultades de inspección, vigilancia y control a las actividades de anuncio, captación de recursos, enajenación y arrendamiento de vivienda. Estas facultades comprenden las de imponer sanciones, impartir órdenes, decretar medidas preventivas, resolver recursos, entre otras.</w:t>
      </w:r>
    </w:p>
    <w:p w14:paraId="77693401" w14:textId="77777777" w:rsidR="003A2C21" w:rsidRPr="008D5937" w:rsidRDefault="003A2C21" w:rsidP="003A2C21">
      <w:pPr>
        <w:autoSpaceDE w:val="0"/>
        <w:autoSpaceDN w:val="0"/>
        <w:adjustRightInd w:val="0"/>
        <w:jc w:val="both"/>
        <w:rPr>
          <w:rFonts w:ascii="Arial" w:hAnsi="Arial" w:cs="Arial"/>
          <w:i/>
          <w:sz w:val="22"/>
          <w:szCs w:val="22"/>
        </w:rPr>
      </w:pPr>
    </w:p>
    <w:p w14:paraId="19FD0D57" w14:textId="7E6CB441" w:rsidR="003A2C21" w:rsidRPr="008D5937" w:rsidRDefault="003A2C21" w:rsidP="003A2C21">
      <w:pPr>
        <w:autoSpaceDE w:val="0"/>
        <w:autoSpaceDN w:val="0"/>
        <w:adjustRightInd w:val="0"/>
        <w:jc w:val="both"/>
        <w:rPr>
          <w:rFonts w:ascii="Arial" w:eastAsia="Tahoma" w:hAnsi="Arial" w:cs="Arial"/>
          <w:sz w:val="22"/>
          <w:szCs w:val="22"/>
        </w:rPr>
      </w:pPr>
      <w:r w:rsidRPr="008D5937">
        <w:rPr>
          <w:rFonts w:ascii="Arial" w:hAnsi="Arial" w:cs="Arial"/>
          <w:sz w:val="22"/>
          <w:szCs w:val="22"/>
          <w:lang w:val="es-ES"/>
        </w:rPr>
        <w:t>Acorde con lo expuesto, este Despacho es competente para resolver el recurso de reposición interpuesto</w:t>
      </w:r>
      <w:r w:rsidRPr="008D5937">
        <w:rPr>
          <w:rFonts w:ascii="Arial" w:hAnsi="Arial" w:cs="Arial"/>
          <w:sz w:val="22"/>
          <w:szCs w:val="22"/>
        </w:rPr>
        <w:t xml:space="preserve"> en contra de la </w:t>
      </w:r>
      <w:r w:rsidRPr="008D5937">
        <w:rPr>
          <w:rFonts w:ascii="Arial" w:hAnsi="Arial" w:cs="Arial"/>
          <w:sz w:val="22"/>
          <w:szCs w:val="22"/>
          <w:lang w:val="es-ES"/>
        </w:rPr>
        <w:t xml:space="preserve">Resolución No. </w:t>
      </w:r>
      <w:r w:rsidR="00572DA1">
        <w:rPr>
          <w:rFonts w:ascii="Arial" w:eastAsia="Tahoma" w:hAnsi="Arial" w:cs="Arial"/>
          <w:sz w:val="22"/>
          <w:szCs w:val="22"/>
        </w:rPr>
        <w:t>30 del 23 de enero de 2025</w:t>
      </w:r>
      <w:r w:rsidRPr="008D5937">
        <w:rPr>
          <w:rFonts w:ascii="Arial" w:eastAsia="Tahoma" w:hAnsi="Arial" w:cs="Arial"/>
          <w:sz w:val="22"/>
          <w:szCs w:val="22"/>
        </w:rPr>
        <w:t>.</w:t>
      </w:r>
    </w:p>
    <w:p w14:paraId="1BF58991" w14:textId="77777777" w:rsidR="003A2C21" w:rsidRPr="008D5937" w:rsidRDefault="003A2C21" w:rsidP="003A2C21">
      <w:pPr>
        <w:autoSpaceDE w:val="0"/>
        <w:autoSpaceDN w:val="0"/>
        <w:adjustRightInd w:val="0"/>
        <w:jc w:val="both"/>
        <w:rPr>
          <w:rFonts w:ascii="Arial" w:hAnsi="Arial" w:cs="Arial"/>
          <w:sz w:val="22"/>
          <w:szCs w:val="22"/>
        </w:rPr>
      </w:pPr>
    </w:p>
    <w:p w14:paraId="35AB33AD" w14:textId="77777777" w:rsidR="003A2C21" w:rsidRPr="008D5937" w:rsidRDefault="003A2C21" w:rsidP="003A2C21">
      <w:pPr>
        <w:jc w:val="both"/>
        <w:rPr>
          <w:rFonts w:ascii="Arial" w:hAnsi="Arial" w:cs="Arial"/>
          <w:b/>
          <w:sz w:val="22"/>
          <w:szCs w:val="22"/>
          <w:lang w:val="es-ES"/>
        </w:rPr>
      </w:pPr>
      <w:r w:rsidRPr="008D5937">
        <w:rPr>
          <w:rFonts w:ascii="Arial" w:hAnsi="Arial" w:cs="Arial"/>
          <w:b/>
          <w:sz w:val="22"/>
          <w:szCs w:val="22"/>
          <w:lang w:val="es-ES"/>
        </w:rPr>
        <w:t>4. Análisis del caso concreto - Argumentos presentados por el recurrente y consideraciones del Despacho.</w:t>
      </w:r>
    </w:p>
    <w:p w14:paraId="03EA4FF0" w14:textId="77777777" w:rsidR="003A2C21" w:rsidRPr="008D5937" w:rsidRDefault="003A2C21" w:rsidP="003A2C21">
      <w:pPr>
        <w:jc w:val="both"/>
        <w:rPr>
          <w:rFonts w:ascii="Arial" w:hAnsi="Arial" w:cs="Arial"/>
          <w:spacing w:val="-3"/>
          <w:sz w:val="22"/>
          <w:szCs w:val="22"/>
        </w:rPr>
      </w:pPr>
    </w:p>
    <w:p w14:paraId="2173A61F" w14:textId="0DD564BB" w:rsidR="003A2C21" w:rsidRPr="008D5937" w:rsidRDefault="003A2C21" w:rsidP="003A2C21">
      <w:pPr>
        <w:jc w:val="both"/>
        <w:rPr>
          <w:rFonts w:ascii="Arial" w:hAnsi="Arial" w:cs="Arial"/>
          <w:spacing w:val="-3"/>
          <w:sz w:val="22"/>
          <w:szCs w:val="22"/>
        </w:rPr>
      </w:pPr>
      <w:r w:rsidRPr="008D5937">
        <w:rPr>
          <w:rFonts w:ascii="Arial" w:hAnsi="Arial" w:cs="Arial"/>
          <w:spacing w:val="-3"/>
          <w:sz w:val="22"/>
          <w:szCs w:val="22"/>
        </w:rPr>
        <w:t>Respecto a este punto el recurrente manifiesta en su escrito lo</w:t>
      </w:r>
      <w:r w:rsidR="00D005E0">
        <w:rPr>
          <w:rFonts w:ascii="Arial" w:hAnsi="Arial" w:cs="Arial"/>
          <w:spacing w:val="-3"/>
          <w:sz w:val="22"/>
          <w:szCs w:val="22"/>
        </w:rPr>
        <w:t>s</w:t>
      </w:r>
      <w:r w:rsidRPr="008D5937">
        <w:rPr>
          <w:rFonts w:ascii="Arial" w:hAnsi="Arial" w:cs="Arial"/>
          <w:spacing w:val="-3"/>
          <w:sz w:val="22"/>
          <w:szCs w:val="22"/>
        </w:rPr>
        <w:t xml:space="preserve"> siguiente</w:t>
      </w:r>
      <w:r w:rsidR="00D005E0">
        <w:rPr>
          <w:rFonts w:ascii="Arial" w:hAnsi="Arial" w:cs="Arial"/>
          <w:spacing w:val="-3"/>
          <w:sz w:val="22"/>
          <w:szCs w:val="22"/>
        </w:rPr>
        <w:t>s argumentos</w:t>
      </w:r>
      <w:r w:rsidRPr="008D5937">
        <w:rPr>
          <w:rFonts w:ascii="Arial" w:hAnsi="Arial" w:cs="Arial"/>
          <w:spacing w:val="-3"/>
          <w:sz w:val="22"/>
          <w:szCs w:val="22"/>
        </w:rPr>
        <w:t xml:space="preserve">: </w:t>
      </w:r>
    </w:p>
    <w:p w14:paraId="6CB8C874" w14:textId="77777777" w:rsidR="003A2C21" w:rsidRPr="008D5937" w:rsidRDefault="003A2C21" w:rsidP="003A2C21">
      <w:pPr>
        <w:jc w:val="both"/>
        <w:rPr>
          <w:rFonts w:ascii="Arial" w:hAnsi="Arial" w:cs="Arial"/>
          <w:spacing w:val="-3"/>
          <w:sz w:val="22"/>
          <w:szCs w:val="22"/>
        </w:rPr>
      </w:pPr>
    </w:p>
    <w:p w14:paraId="024C4810" w14:textId="6AF5AE1D" w:rsidR="00564F62" w:rsidRPr="00564F62" w:rsidRDefault="00564F62" w:rsidP="00564F62">
      <w:pPr>
        <w:ind w:left="708"/>
        <w:jc w:val="both"/>
        <w:rPr>
          <w:rFonts w:ascii="Arial" w:hAnsi="Arial" w:cs="Arial"/>
          <w:i/>
          <w:iCs/>
          <w:spacing w:val="-3"/>
          <w:sz w:val="22"/>
          <w:szCs w:val="22"/>
          <w:lang w:val="es-CO"/>
        </w:rPr>
      </w:pPr>
      <w:r>
        <w:rPr>
          <w:rFonts w:ascii="Arial" w:hAnsi="Arial" w:cs="Arial"/>
          <w:i/>
          <w:iCs/>
          <w:spacing w:val="-3"/>
          <w:sz w:val="22"/>
          <w:szCs w:val="22"/>
          <w:lang w:val="es-CO"/>
        </w:rPr>
        <w:t>S</w:t>
      </w:r>
      <w:r w:rsidRPr="00564F62">
        <w:rPr>
          <w:rFonts w:ascii="Arial" w:hAnsi="Arial" w:cs="Arial"/>
          <w:i/>
          <w:iCs/>
          <w:spacing w:val="-3"/>
          <w:sz w:val="22"/>
          <w:szCs w:val="22"/>
          <w:lang w:val="es-CO"/>
        </w:rPr>
        <w:t xml:space="preserve">olicita la revocatoria total de una multa impuesta por el presunto incumplimiento de una orden relacionada con deficiencias constructivas en el </w:t>
      </w:r>
      <w:r w:rsidRPr="00564F62">
        <w:rPr>
          <w:rFonts w:ascii="Arial" w:hAnsi="Arial" w:cs="Arial"/>
          <w:b/>
          <w:bCs/>
          <w:i/>
          <w:iCs/>
          <w:spacing w:val="-3"/>
          <w:sz w:val="22"/>
          <w:szCs w:val="22"/>
          <w:lang w:val="es-CO"/>
        </w:rPr>
        <w:t>EDIFICIO SAN NICOLÁS PLAZA</w:t>
      </w:r>
      <w:r w:rsidRPr="00564F62">
        <w:rPr>
          <w:rFonts w:ascii="Arial" w:hAnsi="Arial" w:cs="Arial"/>
          <w:i/>
          <w:iCs/>
          <w:spacing w:val="-3"/>
          <w:sz w:val="22"/>
          <w:szCs w:val="22"/>
          <w:lang w:val="es-CO"/>
        </w:rPr>
        <w:t>. La defensa de la constructora se fundamenta en tres ejes principales: la violación al debido proceso, la caducidad de la facultad sancionatoria de la entidad y la existencia de una falsa motivación en el acto administrativo.</w:t>
      </w:r>
    </w:p>
    <w:p w14:paraId="43754615" w14:textId="66AAF30C" w:rsidR="00564F62" w:rsidRPr="00564F62" w:rsidRDefault="00564F62" w:rsidP="00564F62">
      <w:pPr>
        <w:ind w:left="708"/>
        <w:jc w:val="both"/>
        <w:rPr>
          <w:rFonts w:ascii="Arial" w:hAnsi="Arial" w:cs="Arial"/>
          <w:i/>
          <w:iCs/>
          <w:spacing w:val="-3"/>
          <w:sz w:val="22"/>
          <w:szCs w:val="22"/>
          <w:lang w:val="es-CO"/>
        </w:rPr>
      </w:pPr>
    </w:p>
    <w:p w14:paraId="050E7D49" w14:textId="77777777" w:rsidR="00564F62" w:rsidRPr="00564F62" w:rsidRDefault="00564F62" w:rsidP="00564F62">
      <w:pPr>
        <w:ind w:left="708"/>
        <w:jc w:val="both"/>
        <w:rPr>
          <w:rFonts w:ascii="Arial" w:hAnsi="Arial" w:cs="Arial"/>
          <w:i/>
          <w:iCs/>
          <w:spacing w:val="-3"/>
          <w:sz w:val="22"/>
          <w:szCs w:val="22"/>
          <w:lang w:val="es-CO"/>
        </w:rPr>
      </w:pPr>
      <w:r w:rsidRPr="00564F62">
        <w:rPr>
          <w:rFonts w:ascii="Arial" w:hAnsi="Arial" w:cs="Arial"/>
          <w:i/>
          <w:iCs/>
          <w:spacing w:val="-3"/>
          <w:sz w:val="22"/>
          <w:szCs w:val="22"/>
          <w:lang w:val="es-CO"/>
        </w:rPr>
        <w:t xml:space="preserve">En cuanto al debido proceso, INTERPANEL S.A. argumenta que se utilizaron informes de la Veeduría desconocidos para ellos, impidiéndoles ejercer su derecho de defensa. Asimismo, denuncian que la Secretaría no valoró pruebas clave, como un informe previo de la </w:t>
      </w:r>
      <w:r w:rsidRPr="00564F62">
        <w:rPr>
          <w:rFonts w:ascii="Arial" w:hAnsi="Arial" w:cs="Arial"/>
          <w:b/>
          <w:bCs/>
          <w:i/>
          <w:iCs/>
          <w:spacing w:val="-3"/>
          <w:sz w:val="22"/>
          <w:szCs w:val="22"/>
          <w:lang w:val="es-CO"/>
        </w:rPr>
        <w:t>Alcaldía Local de Teusaquillo</w:t>
      </w:r>
      <w:r w:rsidRPr="00564F62">
        <w:rPr>
          <w:rFonts w:ascii="Arial" w:hAnsi="Arial" w:cs="Arial"/>
          <w:i/>
          <w:iCs/>
          <w:spacing w:val="-3"/>
          <w:sz w:val="22"/>
          <w:szCs w:val="22"/>
          <w:lang w:val="es-CO"/>
        </w:rPr>
        <w:t xml:space="preserve"> que ya había archivado una investigación similar tras concluir que las obras sí se ajustaban a la licencia de construcción aprobada.</w:t>
      </w:r>
    </w:p>
    <w:p w14:paraId="17E901FC" w14:textId="31D3807D" w:rsidR="00564F62" w:rsidRPr="00564F62" w:rsidRDefault="00564F62" w:rsidP="00564F62">
      <w:pPr>
        <w:ind w:left="708"/>
        <w:jc w:val="both"/>
        <w:rPr>
          <w:rFonts w:ascii="Arial" w:hAnsi="Arial" w:cs="Arial"/>
          <w:i/>
          <w:iCs/>
          <w:spacing w:val="-3"/>
          <w:sz w:val="22"/>
          <w:szCs w:val="22"/>
          <w:lang w:val="es-CO"/>
        </w:rPr>
      </w:pPr>
    </w:p>
    <w:p w14:paraId="60FDD751" w14:textId="77777777" w:rsidR="00564F62" w:rsidRPr="00CB4DED" w:rsidRDefault="00564F62" w:rsidP="00564F62">
      <w:pPr>
        <w:ind w:left="708"/>
        <w:jc w:val="both"/>
        <w:rPr>
          <w:rFonts w:ascii="Arial" w:hAnsi="Arial" w:cs="Arial"/>
          <w:i/>
          <w:iCs/>
          <w:spacing w:val="-3"/>
          <w:sz w:val="22"/>
          <w:szCs w:val="22"/>
          <w:lang w:val="es-CO"/>
        </w:rPr>
      </w:pPr>
      <w:r w:rsidRPr="00564F62">
        <w:rPr>
          <w:rFonts w:ascii="Arial" w:hAnsi="Arial" w:cs="Arial"/>
          <w:i/>
          <w:iCs/>
          <w:spacing w:val="-3"/>
          <w:sz w:val="22"/>
          <w:szCs w:val="22"/>
          <w:lang w:val="es-CO"/>
        </w:rPr>
        <w:t xml:space="preserve">Respecto a la caducidad y motivación, la sociedad alega que la facultad sancionatoria expiró el 1 de marzo de 2016, meses antes de que se profiriera la resolución sancionatoria en septiembre de ese mismo año. Además, sostienen que los hallazgos técnicos (como la falta de barandas o el estado del manto) se basaron en suposiciones, </w:t>
      </w:r>
      <w:r w:rsidRPr="00CB4DED">
        <w:rPr>
          <w:rFonts w:ascii="Arial" w:hAnsi="Arial" w:cs="Arial"/>
          <w:i/>
          <w:iCs/>
          <w:spacing w:val="-3"/>
          <w:sz w:val="22"/>
          <w:szCs w:val="22"/>
          <w:lang w:val="es-CO"/>
        </w:rPr>
        <w:t>mediciones informales con aplicaciones de celular y hechos que ni siquiera formaban parte de la queja original de los propietarios.</w:t>
      </w:r>
    </w:p>
    <w:p w14:paraId="053A362A" w14:textId="45A4CEEC" w:rsidR="00564F62" w:rsidRPr="00CB4DED" w:rsidRDefault="00564F62" w:rsidP="00564F62">
      <w:pPr>
        <w:ind w:left="708"/>
        <w:jc w:val="both"/>
        <w:rPr>
          <w:rFonts w:ascii="Arial" w:hAnsi="Arial" w:cs="Arial"/>
          <w:i/>
          <w:iCs/>
          <w:spacing w:val="-3"/>
          <w:sz w:val="22"/>
          <w:szCs w:val="22"/>
          <w:lang w:val="es-CO"/>
        </w:rPr>
      </w:pPr>
    </w:p>
    <w:p w14:paraId="253CA6C7" w14:textId="77777777" w:rsidR="00564F62" w:rsidRPr="00CB4DED" w:rsidRDefault="00564F62" w:rsidP="00564F62">
      <w:pPr>
        <w:ind w:left="708"/>
        <w:jc w:val="both"/>
        <w:rPr>
          <w:rFonts w:ascii="Arial" w:hAnsi="Arial" w:cs="Arial"/>
          <w:i/>
          <w:iCs/>
          <w:spacing w:val="-3"/>
          <w:sz w:val="22"/>
          <w:szCs w:val="22"/>
          <w:lang w:val="es-CO"/>
        </w:rPr>
      </w:pPr>
      <w:r w:rsidRPr="00CB4DED">
        <w:rPr>
          <w:rFonts w:ascii="Arial" w:hAnsi="Arial" w:cs="Arial"/>
          <w:i/>
          <w:iCs/>
          <w:spacing w:val="-3"/>
          <w:sz w:val="22"/>
          <w:szCs w:val="22"/>
          <w:lang w:val="es-CO"/>
        </w:rPr>
        <w:t xml:space="preserve">Finalmente, la constructora destaca su voluntad de solucionar las controversias, señalando que los copropietarios en ocasiones impidieron el acceso para realizar reparaciones. El recurso concluye informando sobre un acuerdo económico y un </w:t>
      </w:r>
      <w:r w:rsidRPr="00CB4DED">
        <w:rPr>
          <w:rFonts w:ascii="Arial" w:hAnsi="Arial" w:cs="Arial"/>
          <w:b/>
          <w:bCs/>
          <w:i/>
          <w:iCs/>
          <w:spacing w:val="-3"/>
          <w:sz w:val="22"/>
          <w:szCs w:val="22"/>
          <w:lang w:val="es-CO"/>
        </w:rPr>
        <w:t>paz y salvo</w:t>
      </w:r>
      <w:r w:rsidRPr="00CB4DED">
        <w:rPr>
          <w:rFonts w:ascii="Arial" w:hAnsi="Arial" w:cs="Arial"/>
          <w:i/>
          <w:iCs/>
          <w:spacing w:val="-3"/>
          <w:sz w:val="22"/>
          <w:szCs w:val="22"/>
          <w:lang w:val="es-CO"/>
        </w:rPr>
        <w:t xml:space="preserve"> firmado con la administración del edificio en diciembre de 2017, lo que, según la defensa, hace desaparecer los fundamentos de hecho de la sanción y debería llevar al archivo definitivo del expediente.</w:t>
      </w:r>
    </w:p>
    <w:p w14:paraId="50B4968B" w14:textId="77777777" w:rsidR="003A2C21" w:rsidRPr="00CB4DED" w:rsidRDefault="003A2C21" w:rsidP="003A2C21">
      <w:pPr>
        <w:ind w:left="708"/>
        <w:jc w:val="both"/>
        <w:rPr>
          <w:rFonts w:ascii="Arial" w:hAnsi="Arial" w:cs="Arial"/>
          <w:i/>
          <w:iCs/>
          <w:spacing w:val="-3"/>
          <w:sz w:val="22"/>
          <w:szCs w:val="22"/>
          <w:lang w:val="es-CO"/>
        </w:rPr>
      </w:pPr>
    </w:p>
    <w:p w14:paraId="139787C3" w14:textId="5A5B5694" w:rsidR="003A2C21" w:rsidRPr="00CB4DED" w:rsidRDefault="003A2C21" w:rsidP="003A2C21">
      <w:pPr>
        <w:jc w:val="both"/>
        <w:rPr>
          <w:rFonts w:ascii="Arial" w:hAnsi="Arial" w:cs="Arial"/>
          <w:spacing w:val="-3"/>
          <w:sz w:val="22"/>
          <w:szCs w:val="22"/>
          <w:lang w:val="es-ES"/>
        </w:rPr>
      </w:pPr>
      <w:r w:rsidRPr="00CB4DED">
        <w:rPr>
          <w:rFonts w:ascii="Arial" w:hAnsi="Arial" w:cs="Arial"/>
          <w:spacing w:val="-3"/>
          <w:sz w:val="22"/>
          <w:szCs w:val="22"/>
          <w:lang w:val="es-ES"/>
        </w:rPr>
        <w:t xml:space="preserve">Teniendo en cuenta los argumentos planteados por el recurrente, esta </w:t>
      </w:r>
      <w:r w:rsidR="00D005E0" w:rsidRPr="00CB4DED">
        <w:rPr>
          <w:rFonts w:ascii="Arial" w:eastAsia="Arial" w:hAnsi="Arial" w:cs="Arial"/>
          <w:color w:val="000000"/>
          <w:sz w:val="22"/>
          <w:szCs w:val="22"/>
        </w:rPr>
        <w:t>Dirección</w:t>
      </w:r>
      <w:r w:rsidR="00D005E0" w:rsidRPr="00CB4DED">
        <w:rPr>
          <w:rFonts w:ascii="Arial" w:hAnsi="Arial" w:cs="Arial"/>
          <w:spacing w:val="-3"/>
          <w:sz w:val="22"/>
          <w:szCs w:val="22"/>
          <w:lang w:val="es-ES"/>
        </w:rPr>
        <w:t xml:space="preserve"> </w:t>
      </w:r>
      <w:r w:rsidRPr="00CB4DED">
        <w:rPr>
          <w:rFonts w:ascii="Arial" w:hAnsi="Arial" w:cs="Arial"/>
          <w:spacing w:val="-3"/>
          <w:sz w:val="22"/>
          <w:szCs w:val="22"/>
          <w:lang w:val="es-ES"/>
        </w:rPr>
        <w:t>precisa que la función de inspección, vigilancia y control sobre la actividad de enajenación de inmuebles destinados a vivienda, de conformidad con las Leyes 66 de 1968, 388 de 1997, Decretos Ley 2610 de 1979, 078 de 1987 y demás normas concordantes, se ejerce sobre las personas naturales o jurídicas que desarrollen la actividad de enajenación de vivienda en el Distrito, con el propósito de resguardar el orden social y amparar la observancia de la ley.</w:t>
      </w:r>
    </w:p>
    <w:p w14:paraId="3740094D" w14:textId="77777777" w:rsidR="003A2C21" w:rsidRPr="00CB4DED" w:rsidRDefault="003A2C21" w:rsidP="0049599C">
      <w:pPr>
        <w:jc w:val="both"/>
        <w:rPr>
          <w:rFonts w:ascii="Arial" w:hAnsi="Arial" w:cs="Arial"/>
          <w:spacing w:val="-3"/>
          <w:sz w:val="22"/>
          <w:szCs w:val="22"/>
          <w:lang w:val="es-CO"/>
        </w:rPr>
      </w:pPr>
    </w:p>
    <w:p w14:paraId="15247428" w14:textId="36F89BE7" w:rsidR="0049599C" w:rsidRPr="00CB4DED" w:rsidRDefault="0049599C" w:rsidP="0049599C">
      <w:pPr>
        <w:jc w:val="both"/>
        <w:rPr>
          <w:rFonts w:ascii="Arial" w:hAnsi="Arial" w:cs="Arial"/>
          <w:b/>
          <w:bCs/>
          <w:sz w:val="22"/>
          <w:szCs w:val="22"/>
        </w:rPr>
      </w:pPr>
      <w:r w:rsidRPr="00CB4DED">
        <w:rPr>
          <w:rFonts w:ascii="Arial" w:hAnsi="Arial" w:cs="Arial"/>
          <w:b/>
          <w:bCs/>
          <w:sz w:val="22"/>
          <w:szCs w:val="22"/>
        </w:rPr>
        <w:t xml:space="preserve">Consideraciones de la </w:t>
      </w:r>
      <w:r w:rsidR="00D005E0" w:rsidRPr="00CB4DED">
        <w:rPr>
          <w:rFonts w:ascii="Arial" w:hAnsi="Arial" w:cs="Arial"/>
          <w:b/>
          <w:bCs/>
          <w:sz w:val="22"/>
          <w:szCs w:val="22"/>
        </w:rPr>
        <w:t>Dirección</w:t>
      </w:r>
      <w:r w:rsidRPr="00CB4DED">
        <w:rPr>
          <w:rFonts w:ascii="Arial" w:hAnsi="Arial" w:cs="Arial"/>
          <w:b/>
          <w:bCs/>
          <w:sz w:val="22"/>
          <w:szCs w:val="22"/>
        </w:rPr>
        <w:t xml:space="preserve">. </w:t>
      </w:r>
    </w:p>
    <w:p w14:paraId="483EA89D" w14:textId="77777777" w:rsidR="0049599C" w:rsidRPr="00CB4DED" w:rsidRDefault="0049599C" w:rsidP="0049599C">
      <w:pPr>
        <w:jc w:val="both"/>
        <w:rPr>
          <w:rFonts w:ascii="Arial" w:hAnsi="Arial" w:cs="Arial"/>
          <w:spacing w:val="-3"/>
          <w:sz w:val="22"/>
          <w:szCs w:val="22"/>
          <w:lang w:val="es-ES"/>
        </w:rPr>
      </w:pPr>
    </w:p>
    <w:p w14:paraId="2EB19110" w14:textId="19C06458" w:rsidR="003A2C21" w:rsidRPr="00CB4DED" w:rsidRDefault="0022390E" w:rsidP="003A2C21">
      <w:pPr>
        <w:jc w:val="both"/>
        <w:rPr>
          <w:rFonts w:ascii="Arial" w:hAnsi="Arial" w:cs="Arial"/>
          <w:spacing w:val="-3"/>
          <w:sz w:val="22"/>
          <w:szCs w:val="22"/>
          <w:lang w:val="es-ES"/>
        </w:rPr>
      </w:pPr>
      <w:r w:rsidRPr="00CB4DED">
        <w:rPr>
          <w:rFonts w:ascii="Arial" w:hAnsi="Arial" w:cs="Arial"/>
          <w:spacing w:val="-3"/>
          <w:sz w:val="22"/>
          <w:szCs w:val="22"/>
          <w:lang w:val="es-ES"/>
        </w:rPr>
        <w:t xml:space="preserve">Dentro </w:t>
      </w:r>
      <w:r w:rsidR="003A2C21" w:rsidRPr="00CB4DED">
        <w:rPr>
          <w:rFonts w:ascii="Arial" w:hAnsi="Arial" w:cs="Arial"/>
          <w:spacing w:val="-3"/>
          <w:sz w:val="22"/>
          <w:szCs w:val="22"/>
          <w:lang w:val="es-ES"/>
        </w:rPr>
        <w:t xml:space="preserve">de las funciones a cargo de esta </w:t>
      </w:r>
      <w:r w:rsidR="00D005E0" w:rsidRPr="00CB4DED">
        <w:rPr>
          <w:rFonts w:ascii="Arial" w:eastAsia="Arial" w:hAnsi="Arial" w:cs="Arial"/>
          <w:color w:val="000000"/>
          <w:sz w:val="22"/>
          <w:szCs w:val="22"/>
        </w:rPr>
        <w:t>Dirección</w:t>
      </w:r>
      <w:r w:rsidR="00D005E0" w:rsidRPr="00CB4DED">
        <w:rPr>
          <w:rFonts w:ascii="Arial" w:hAnsi="Arial" w:cs="Arial"/>
          <w:spacing w:val="-3"/>
          <w:sz w:val="22"/>
          <w:szCs w:val="22"/>
          <w:lang w:val="es-ES"/>
        </w:rPr>
        <w:t xml:space="preserve"> </w:t>
      </w:r>
      <w:r w:rsidR="003A2C21" w:rsidRPr="00CB4DED">
        <w:rPr>
          <w:rFonts w:ascii="Arial" w:hAnsi="Arial" w:cs="Arial"/>
          <w:spacing w:val="-3"/>
          <w:sz w:val="22"/>
          <w:szCs w:val="22"/>
          <w:lang w:val="es-ES"/>
        </w:rPr>
        <w:t>está</w:t>
      </w:r>
      <w:r w:rsidRPr="00CB4DED">
        <w:rPr>
          <w:rFonts w:ascii="Arial" w:hAnsi="Arial" w:cs="Arial"/>
          <w:spacing w:val="-3"/>
          <w:sz w:val="22"/>
          <w:szCs w:val="22"/>
          <w:lang w:val="es-ES"/>
        </w:rPr>
        <w:t>n</w:t>
      </w:r>
      <w:r w:rsidR="003A2C21" w:rsidRPr="00CB4DED">
        <w:rPr>
          <w:rFonts w:ascii="Arial" w:hAnsi="Arial" w:cs="Arial"/>
          <w:spacing w:val="-3"/>
          <w:sz w:val="22"/>
          <w:szCs w:val="22"/>
          <w:lang w:val="es-ES"/>
        </w:rPr>
        <w:t xml:space="preserve"> encaminad</w:t>
      </w:r>
      <w:r w:rsidRPr="00CB4DED">
        <w:rPr>
          <w:rFonts w:ascii="Arial" w:hAnsi="Arial" w:cs="Arial"/>
          <w:spacing w:val="-3"/>
          <w:sz w:val="22"/>
          <w:szCs w:val="22"/>
          <w:lang w:val="es-ES"/>
        </w:rPr>
        <w:t>as</w:t>
      </w:r>
      <w:r w:rsidR="003A2C21" w:rsidRPr="00CB4DED">
        <w:rPr>
          <w:rFonts w:ascii="Arial" w:hAnsi="Arial" w:cs="Arial"/>
          <w:spacing w:val="-3"/>
          <w:sz w:val="22"/>
          <w:szCs w:val="22"/>
          <w:lang w:val="es-ES"/>
        </w:rPr>
        <w:t xml:space="preserve"> a verificar si los hechos puestos en conocimiento de la Administración constituyen vulneración a la normatividad que regula la actividad, acto desarrollado a través de la investigación administrativa que se ha de adelantar en atención al procedimiento previsto en el Decreto Distrital </w:t>
      </w:r>
      <w:r w:rsidR="009B0877" w:rsidRPr="00CB4DED">
        <w:rPr>
          <w:rFonts w:ascii="Arial" w:hAnsi="Arial" w:cs="Arial"/>
          <w:spacing w:val="-3"/>
          <w:sz w:val="22"/>
          <w:szCs w:val="22"/>
          <w:lang w:val="es-ES"/>
        </w:rPr>
        <w:t>653 de 2025</w:t>
      </w:r>
      <w:r w:rsidR="003A2C21" w:rsidRPr="00CB4DED">
        <w:rPr>
          <w:rFonts w:ascii="Arial" w:hAnsi="Arial" w:cs="Arial"/>
          <w:spacing w:val="-3"/>
          <w:sz w:val="22"/>
          <w:szCs w:val="22"/>
          <w:lang w:val="es-ES"/>
        </w:rPr>
        <w:t>, en armonía con lo estipulado en el Código de Procedimiento Administrativo y de lo Contencioso Administrativo y demás normas relacionadas.</w:t>
      </w:r>
    </w:p>
    <w:p w14:paraId="6D16CE3A" w14:textId="77777777" w:rsidR="003A2C21" w:rsidRPr="00CB4DED" w:rsidRDefault="003A2C21" w:rsidP="003A2C21">
      <w:pPr>
        <w:jc w:val="both"/>
        <w:rPr>
          <w:rFonts w:ascii="Arial" w:hAnsi="Arial" w:cs="Arial"/>
          <w:spacing w:val="-3"/>
          <w:sz w:val="22"/>
          <w:szCs w:val="22"/>
          <w:lang w:val="es-ES"/>
        </w:rPr>
      </w:pPr>
    </w:p>
    <w:p w14:paraId="1EF288D9" w14:textId="77777777" w:rsidR="003A2C21" w:rsidRPr="00CB4DED" w:rsidRDefault="003A2C21" w:rsidP="003A2C21">
      <w:pPr>
        <w:shd w:val="clear" w:color="auto" w:fill="FFFFFF"/>
        <w:jc w:val="both"/>
        <w:rPr>
          <w:rFonts w:ascii="Arial" w:hAnsi="Arial" w:cs="Arial"/>
          <w:spacing w:val="-3"/>
          <w:sz w:val="22"/>
          <w:szCs w:val="22"/>
          <w:lang w:val="es-ES"/>
        </w:rPr>
      </w:pPr>
      <w:r w:rsidRPr="00CB4DED">
        <w:rPr>
          <w:rFonts w:ascii="Arial" w:hAnsi="Arial" w:cs="Arial"/>
          <w:spacing w:val="-3"/>
          <w:sz w:val="22"/>
          <w:szCs w:val="22"/>
          <w:lang w:val="es-ES"/>
        </w:rPr>
        <w:t>No debe perderse de vista que la sanción administrativa surge como respuesta del Estado a la inobservancia por parte de los administrados de las obligaciones y deberes que han sido ideados para el adecuado funcionamiento y marcha de la Administración y, a la vez, se constituye como expresión concreta del poder punitivo del Estado, la cual en todo caso debe estar revestida de las garantías del debido proceso</w:t>
      </w:r>
      <w:r w:rsidRPr="00CB4DED">
        <w:rPr>
          <w:rStyle w:val="Refdenotaalpie"/>
          <w:rFonts w:ascii="Arial" w:hAnsi="Arial" w:cs="Arial"/>
          <w:spacing w:val="-3"/>
          <w:sz w:val="22"/>
          <w:szCs w:val="22"/>
          <w:lang w:val="es-ES"/>
        </w:rPr>
        <w:footnoteReference w:id="2"/>
      </w:r>
      <w:r w:rsidRPr="00CB4DED">
        <w:rPr>
          <w:rFonts w:ascii="Arial" w:hAnsi="Arial" w:cs="Arial"/>
          <w:spacing w:val="-3"/>
          <w:sz w:val="22"/>
          <w:szCs w:val="22"/>
          <w:lang w:val="es-ES"/>
        </w:rPr>
        <w:t xml:space="preserve"> entre las cuales se encuentra el respeto por el principio de legalidad</w:t>
      </w:r>
      <w:r w:rsidRPr="00CB4DED">
        <w:rPr>
          <w:rStyle w:val="Refdenotaalpie"/>
          <w:rFonts w:ascii="Arial" w:hAnsi="Arial" w:cs="Arial"/>
          <w:spacing w:val="-3"/>
          <w:sz w:val="22"/>
          <w:szCs w:val="22"/>
          <w:lang w:val="es-ES"/>
        </w:rPr>
        <w:footnoteReference w:id="3"/>
      </w:r>
      <w:r w:rsidRPr="00CB4DED">
        <w:rPr>
          <w:rFonts w:ascii="Arial" w:hAnsi="Arial" w:cs="Arial"/>
          <w:spacing w:val="-3"/>
          <w:sz w:val="22"/>
          <w:szCs w:val="22"/>
          <w:lang w:val="es-ES"/>
        </w:rPr>
        <w:t xml:space="preserve"> en materia sancionatoria.</w:t>
      </w:r>
    </w:p>
    <w:p w14:paraId="5978B762" w14:textId="77777777" w:rsidR="003A2C21" w:rsidRPr="00CB4DED" w:rsidRDefault="003A2C21" w:rsidP="003A2C21">
      <w:pPr>
        <w:widowControl w:val="0"/>
        <w:shd w:val="clear" w:color="auto" w:fill="FFFFFF"/>
        <w:autoSpaceDE w:val="0"/>
        <w:autoSpaceDN w:val="0"/>
        <w:adjustRightInd w:val="0"/>
        <w:jc w:val="both"/>
        <w:rPr>
          <w:rFonts w:ascii="Arial" w:hAnsi="Arial" w:cs="Arial"/>
          <w:spacing w:val="-3"/>
          <w:sz w:val="22"/>
          <w:szCs w:val="22"/>
          <w:lang w:val="es-ES"/>
        </w:rPr>
      </w:pPr>
    </w:p>
    <w:p w14:paraId="0720208B" w14:textId="77777777" w:rsidR="003A2C21" w:rsidRPr="00CB4DED" w:rsidRDefault="003A2C21" w:rsidP="003A2C21">
      <w:pPr>
        <w:widowControl w:val="0"/>
        <w:shd w:val="clear" w:color="auto" w:fill="FFFFFF"/>
        <w:autoSpaceDE w:val="0"/>
        <w:autoSpaceDN w:val="0"/>
        <w:adjustRightInd w:val="0"/>
        <w:jc w:val="both"/>
        <w:rPr>
          <w:rFonts w:ascii="Arial" w:hAnsi="Arial" w:cs="Arial"/>
          <w:spacing w:val="-3"/>
          <w:sz w:val="22"/>
          <w:szCs w:val="22"/>
          <w:lang w:val="es-ES"/>
        </w:rPr>
      </w:pPr>
      <w:r w:rsidRPr="00CB4DED">
        <w:rPr>
          <w:rFonts w:ascii="Arial" w:hAnsi="Arial" w:cs="Arial"/>
          <w:spacing w:val="-3"/>
          <w:sz w:val="22"/>
          <w:szCs w:val="22"/>
          <w:lang w:val="es-ES"/>
        </w:rPr>
        <w:t>Lo anterior implica que, en materia administrativa, lo que debe primar es el análisis de cada caso en concreto mediante una clara actividad de adecuación entre la conducta investigada y los supuestos de infracción previstos en la Ley o normativa vigente a la fecha de ocurrencia de los hechos.</w:t>
      </w:r>
    </w:p>
    <w:p w14:paraId="784B0B28" w14:textId="77777777" w:rsidR="00EC5937" w:rsidRPr="00CB4DED" w:rsidRDefault="00EC5937" w:rsidP="003A2C21">
      <w:pPr>
        <w:widowControl w:val="0"/>
        <w:shd w:val="clear" w:color="auto" w:fill="FFFFFF"/>
        <w:autoSpaceDE w:val="0"/>
        <w:autoSpaceDN w:val="0"/>
        <w:adjustRightInd w:val="0"/>
        <w:jc w:val="both"/>
        <w:rPr>
          <w:rFonts w:ascii="Arial" w:hAnsi="Arial" w:cs="Arial"/>
          <w:spacing w:val="-3"/>
          <w:sz w:val="22"/>
          <w:szCs w:val="22"/>
          <w:lang w:val="es-ES"/>
        </w:rPr>
      </w:pPr>
    </w:p>
    <w:p w14:paraId="1FB39399" w14:textId="00FD2478" w:rsidR="003A2C21" w:rsidRPr="00CB4DED" w:rsidRDefault="003A2C21" w:rsidP="003A2C21">
      <w:pPr>
        <w:jc w:val="both"/>
        <w:rPr>
          <w:rFonts w:ascii="Arial" w:hAnsi="Arial" w:cs="Arial"/>
          <w:sz w:val="22"/>
          <w:szCs w:val="22"/>
          <w:shd w:val="clear" w:color="auto" w:fill="FFFFFF"/>
        </w:rPr>
      </w:pPr>
      <w:r w:rsidRPr="00CB4DED">
        <w:rPr>
          <w:rFonts w:ascii="Arial" w:hAnsi="Arial" w:cs="Arial"/>
          <w:spacing w:val="-3"/>
          <w:sz w:val="22"/>
          <w:szCs w:val="22"/>
          <w:lang w:val="es-ES"/>
        </w:rPr>
        <w:t xml:space="preserve">Expuesto lo anterior y en el caso concreto, </w:t>
      </w:r>
      <w:r w:rsidRPr="00CB4DED">
        <w:rPr>
          <w:rFonts w:ascii="Arial" w:hAnsi="Arial" w:cs="Arial"/>
          <w:sz w:val="22"/>
          <w:szCs w:val="22"/>
          <w:shd w:val="clear" w:color="auto" w:fill="FFFFFF"/>
        </w:rPr>
        <w:t>contrario a lo afirmado por el recurrente en su argumentación, este Despacho tuvo en cuenta los diferentes medios de prueba allegados al expediente.</w:t>
      </w:r>
    </w:p>
    <w:p w14:paraId="68721F6D" w14:textId="77777777" w:rsidR="002D74BF" w:rsidRPr="00CB4DED" w:rsidRDefault="002D74BF" w:rsidP="003A2C21">
      <w:pPr>
        <w:jc w:val="both"/>
        <w:rPr>
          <w:rFonts w:ascii="Arial" w:hAnsi="Arial" w:cs="Arial"/>
          <w:sz w:val="22"/>
          <w:szCs w:val="22"/>
          <w:shd w:val="clear" w:color="auto" w:fill="FFFFFF"/>
        </w:rPr>
      </w:pPr>
    </w:p>
    <w:p w14:paraId="767B69F2" w14:textId="7E351835" w:rsidR="002D74BF" w:rsidRPr="00CB4DED" w:rsidRDefault="002D74BF" w:rsidP="003A2C21">
      <w:pPr>
        <w:jc w:val="both"/>
        <w:rPr>
          <w:rFonts w:ascii="Arial" w:hAnsi="Arial" w:cs="Arial"/>
          <w:sz w:val="22"/>
          <w:szCs w:val="22"/>
          <w:shd w:val="clear" w:color="auto" w:fill="FFFFFF"/>
        </w:rPr>
      </w:pPr>
      <w:r w:rsidRPr="00CB4DED">
        <w:rPr>
          <w:rFonts w:ascii="Arial" w:hAnsi="Arial" w:cs="Arial"/>
          <w:sz w:val="22"/>
          <w:szCs w:val="22"/>
          <w:shd w:val="clear" w:color="auto" w:fill="FFFFFF"/>
        </w:rPr>
        <w:t xml:space="preserve">Este Despacho debe advertir que los acuerdos suscritos entre INTERPANEL S.A. y el EDIFICIO SAN NICOLÁS PLAZA no constituyen prueba de cumplimiento de los mandatos impartidos. Existe una distinción sustancial entre la responsabilidad civil, que las partes han pretendido transigir mediante el pago de sumas de dinero, y la responsabilidad administrativa, que solo se satisface con el cumplimiento efectivo y material de la orden. </w:t>
      </w:r>
    </w:p>
    <w:p w14:paraId="46D57182" w14:textId="77777777" w:rsidR="002D74BF" w:rsidRPr="00CB4DED" w:rsidRDefault="002D74BF" w:rsidP="003A2C21">
      <w:pPr>
        <w:jc w:val="both"/>
        <w:rPr>
          <w:rFonts w:ascii="Arial" w:hAnsi="Arial" w:cs="Arial"/>
          <w:sz w:val="22"/>
          <w:szCs w:val="22"/>
          <w:shd w:val="clear" w:color="auto" w:fill="FFFFFF"/>
        </w:rPr>
      </w:pPr>
    </w:p>
    <w:p w14:paraId="2F9348D0" w14:textId="55EEAE2D" w:rsidR="002D74BF" w:rsidRPr="00CB4DED" w:rsidRDefault="002D74BF" w:rsidP="003A2C21">
      <w:pPr>
        <w:jc w:val="both"/>
        <w:rPr>
          <w:rFonts w:ascii="Arial" w:hAnsi="Arial" w:cs="Arial"/>
          <w:sz w:val="22"/>
          <w:szCs w:val="22"/>
          <w:shd w:val="clear" w:color="auto" w:fill="FFFFFF"/>
        </w:rPr>
      </w:pPr>
      <w:r w:rsidRPr="00CB4DED">
        <w:rPr>
          <w:rFonts w:ascii="Arial" w:hAnsi="Arial" w:cs="Arial"/>
          <w:sz w:val="22"/>
          <w:szCs w:val="22"/>
          <w:shd w:val="clear" w:color="auto" w:fill="FFFFFF"/>
        </w:rPr>
        <w:t>En la medida en que los hechos sancionados persisten en la realidad física de la copropiedad, el 'paz y salvo' aportado es una verdad puramente formal que no desvirtúa el incumplimiento técnico, razón por la cual la actuación administrativa debe continuar su curso.</w:t>
      </w:r>
    </w:p>
    <w:p w14:paraId="5BF7C997" w14:textId="77777777" w:rsidR="002D74BF" w:rsidRPr="00CB4DED" w:rsidRDefault="002D74BF" w:rsidP="003A2C21">
      <w:pPr>
        <w:jc w:val="both"/>
        <w:rPr>
          <w:rFonts w:ascii="Arial" w:hAnsi="Arial" w:cs="Arial"/>
          <w:sz w:val="22"/>
          <w:szCs w:val="22"/>
          <w:shd w:val="clear" w:color="auto" w:fill="FFFFFF"/>
        </w:rPr>
      </w:pPr>
    </w:p>
    <w:p w14:paraId="57A85ADE" w14:textId="6DF92410" w:rsidR="002D74BF" w:rsidRPr="00CB4DED" w:rsidRDefault="002D74BF" w:rsidP="003A2C21">
      <w:pPr>
        <w:jc w:val="both"/>
        <w:rPr>
          <w:rFonts w:ascii="Arial" w:hAnsi="Arial" w:cs="Arial"/>
          <w:sz w:val="22"/>
          <w:szCs w:val="22"/>
          <w:shd w:val="clear" w:color="auto" w:fill="FFFFFF"/>
        </w:rPr>
      </w:pPr>
      <w:r w:rsidRPr="00CB4DED">
        <w:rPr>
          <w:rFonts w:ascii="Arial" w:hAnsi="Arial" w:cs="Arial"/>
          <w:sz w:val="22"/>
          <w:szCs w:val="22"/>
          <w:shd w:val="clear" w:color="auto" w:fill="FFFFFF"/>
        </w:rPr>
        <w:t xml:space="preserve">A su vez, es importante mencionar que dichas pruebas ya habían sido valoradas tal y como se mencionó en la </w:t>
      </w:r>
      <w:r w:rsidRPr="00CB4DED">
        <w:rPr>
          <w:rFonts w:ascii="Arial" w:hAnsi="Arial" w:cs="Arial"/>
          <w:sz w:val="22"/>
          <w:szCs w:val="22"/>
          <w:lang w:val="es-ES"/>
        </w:rPr>
        <w:t xml:space="preserve">Resolución No. </w:t>
      </w:r>
      <w:r w:rsidRPr="00CB4DED">
        <w:rPr>
          <w:rFonts w:ascii="Arial" w:eastAsia="Tahoma" w:hAnsi="Arial" w:cs="Arial"/>
          <w:sz w:val="22"/>
          <w:szCs w:val="22"/>
        </w:rPr>
        <w:t xml:space="preserve">30 del 23 de enero de 2025, </w:t>
      </w:r>
      <w:r w:rsidRPr="00CB4DED">
        <w:rPr>
          <w:rFonts w:ascii="Arial" w:hAnsi="Arial" w:cs="Arial"/>
          <w:sz w:val="22"/>
          <w:szCs w:val="22"/>
          <w:shd w:val="clear" w:color="auto" w:fill="FFFFFF"/>
        </w:rPr>
        <w:t>que es objeto del presente recurso</w:t>
      </w:r>
      <w:r w:rsidR="00943761" w:rsidRPr="00CB4DED">
        <w:rPr>
          <w:rFonts w:ascii="Arial" w:hAnsi="Arial" w:cs="Arial"/>
          <w:sz w:val="22"/>
          <w:szCs w:val="22"/>
          <w:shd w:val="clear" w:color="auto" w:fill="FFFFFF"/>
        </w:rPr>
        <w:t>, hechos que se constituye repetitivo</w:t>
      </w:r>
      <w:r w:rsidRPr="00CB4DED">
        <w:rPr>
          <w:rFonts w:ascii="Arial" w:hAnsi="Arial" w:cs="Arial"/>
          <w:sz w:val="22"/>
          <w:szCs w:val="22"/>
          <w:shd w:val="clear" w:color="auto" w:fill="FFFFFF"/>
        </w:rPr>
        <w:t xml:space="preserve">. </w:t>
      </w:r>
    </w:p>
    <w:p w14:paraId="3CDD0F89" w14:textId="77777777" w:rsidR="003A2C21" w:rsidRPr="00CB4DED" w:rsidRDefault="003A2C21" w:rsidP="003A2C21">
      <w:pPr>
        <w:jc w:val="both"/>
        <w:rPr>
          <w:rFonts w:ascii="Arial" w:hAnsi="Arial" w:cs="Arial"/>
          <w:sz w:val="22"/>
          <w:szCs w:val="22"/>
        </w:rPr>
      </w:pPr>
    </w:p>
    <w:p w14:paraId="07A9C135" w14:textId="6E6A2296" w:rsidR="003A2C21" w:rsidRPr="00CB4DED" w:rsidRDefault="003A2C21" w:rsidP="003A2C21">
      <w:pPr>
        <w:pStyle w:val="Sinespaciado"/>
        <w:jc w:val="both"/>
        <w:rPr>
          <w:rFonts w:ascii="Arial" w:hAnsi="Arial" w:cs="Arial"/>
        </w:rPr>
      </w:pPr>
      <w:r w:rsidRPr="00CB4DED">
        <w:rPr>
          <w:rFonts w:ascii="Arial" w:hAnsi="Arial" w:cs="Arial"/>
        </w:rPr>
        <w:t xml:space="preserve">No obstante, aún si en aplicación del principio de buena fe, este Despacho </w:t>
      </w:r>
      <w:r w:rsidR="002D74BF" w:rsidRPr="00CB4DED">
        <w:rPr>
          <w:rFonts w:ascii="Arial" w:hAnsi="Arial" w:cs="Arial"/>
        </w:rPr>
        <w:t>valoro</w:t>
      </w:r>
      <w:r w:rsidR="002D74BF" w:rsidRPr="00CB4DED">
        <w:rPr>
          <w:rFonts w:ascii="Arial" w:hAnsi="Arial" w:cs="Arial"/>
          <w:shd w:val="clear" w:color="auto" w:fill="FFFFFF"/>
        </w:rPr>
        <w:t xml:space="preserve"> el 'paz y salvo' aportado es una verdad puramente formal</w:t>
      </w:r>
      <w:r w:rsidRPr="00CB4DED">
        <w:rPr>
          <w:rFonts w:ascii="Arial" w:hAnsi="Arial" w:cs="Arial"/>
        </w:rPr>
        <w:t xml:space="preserve">, lo cierto es que este Despacho valoró otras pruebas, tales como el Informe de Verificación de Hechos No. </w:t>
      </w:r>
      <w:r w:rsidR="002D74BF" w:rsidRPr="00CB4DED">
        <w:rPr>
          <w:rFonts w:ascii="Arial" w:hAnsi="Arial" w:cs="Arial"/>
        </w:rPr>
        <w:t>24-156 del 24 de mayo de 2024</w:t>
      </w:r>
      <w:r w:rsidRPr="00CB4DED">
        <w:rPr>
          <w:rFonts w:ascii="Arial" w:hAnsi="Arial" w:cs="Arial"/>
        </w:rPr>
        <w:t>, en el que se concluyó:</w:t>
      </w:r>
    </w:p>
    <w:p w14:paraId="1665B7D8" w14:textId="77777777" w:rsidR="003A2C21" w:rsidRPr="00CB4DED" w:rsidRDefault="003A2C21" w:rsidP="003A2C21">
      <w:pPr>
        <w:pStyle w:val="Sinespaciado"/>
        <w:jc w:val="both"/>
        <w:rPr>
          <w:rFonts w:ascii="Arial" w:hAnsi="Arial" w:cs="Arial"/>
        </w:rPr>
      </w:pPr>
    </w:p>
    <w:p w14:paraId="5E7773AB" w14:textId="77777777" w:rsidR="004C7733" w:rsidRPr="00CB4DED" w:rsidRDefault="004C7733" w:rsidP="004C7733">
      <w:pPr>
        <w:pStyle w:val="Sinespaciado"/>
        <w:ind w:left="567"/>
        <w:jc w:val="both"/>
        <w:rPr>
          <w:rFonts w:ascii="Arial" w:hAnsi="Arial" w:cs="Arial"/>
          <w:b/>
          <w:bCs/>
          <w:i/>
          <w:iCs/>
          <w:lang w:val="es-ES_tradnl"/>
        </w:rPr>
      </w:pPr>
      <w:r w:rsidRPr="00CB4DED">
        <w:rPr>
          <w:rFonts w:ascii="Arial" w:hAnsi="Arial" w:cs="Arial"/>
          <w:b/>
          <w:bCs/>
          <w:i/>
          <w:iCs/>
          <w:lang w:val="es-ES_tradnl"/>
        </w:rPr>
        <w:t xml:space="preserve">2-A. (...) NO EXISTE LA INSTALACIÓN DE BARANDA, O MEDIO QUE GARANTICE LA SEGURIDAD DE LAS PERSONAS QUE UTILIZAN EL ÁREA Y/O REALIZAN MANTENIMIENTO A ESTA ZONA. </w:t>
      </w:r>
    </w:p>
    <w:p w14:paraId="5BE53495" w14:textId="77777777" w:rsidR="004C7733" w:rsidRPr="00CB4DED" w:rsidRDefault="004C7733" w:rsidP="004C7733">
      <w:pPr>
        <w:pStyle w:val="Sinespaciado"/>
        <w:ind w:left="567"/>
        <w:jc w:val="both"/>
        <w:rPr>
          <w:rFonts w:ascii="Arial" w:hAnsi="Arial" w:cs="Arial"/>
          <w:i/>
          <w:iCs/>
          <w:lang w:val="es-ES_tradnl"/>
        </w:rPr>
      </w:pPr>
    </w:p>
    <w:p w14:paraId="2D9A0DEA" w14:textId="36D29662" w:rsidR="008C5577" w:rsidRPr="00CB4DED" w:rsidRDefault="00943761" w:rsidP="004C7733">
      <w:pPr>
        <w:pStyle w:val="Sinespaciado"/>
        <w:ind w:left="567"/>
        <w:jc w:val="both"/>
        <w:rPr>
          <w:rFonts w:ascii="Arial" w:hAnsi="Arial" w:cs="Arial"/>
          <w:i/>
          <w:iCs/>
        </w:rPr>
      </w:pPr>
      <w:r w:rsidRPr="00CB4DED">
        <w:rPr>
          <w:rFonts w:ascii="Arial" w:hAnsi="Arial" w:cs="Arial"/>
          <w:i/>
          <w:iCs/>
          <w:lang w:val="es-ES_tradnl"/>
        </w:rPr>
        <w:t>Con respecto al requerimiento, en la visita se pudo evidenciar que el hecho no ha sido subsanado por el enajenador, se observa que la cubierta transitable continua sin la instalación de baranda o medio que garantice la seguridad de las personas. De acuerdo con lo anterior, se considera que la sociedad enajenadora NO ha realizado los trabajos tendientes a subsanar la instalación de barandilla o algún medio que garantice la seguridad de las personas en la cubierta transitable, de acuerdo con lo estipulado en el artículo segundo de la Resolución 2609 del 28 de septiembre de 2016. Razón por el cual el hecho PERSISTE.</w:t>
      </w:r>
    </w:p>
    <w:p w14:paraId="20C2CDCF" w14:textId="77777777" w:rsidR="008C5577" w:rsidRPr="00CB4DED" w:rsidRDefault="008C5577" w:rsidP="004C7733">
      <w:pPr>
        <w:pStyle w:val="Sinespaciado"/>
        <w:ind w:left="567"/>
        <w:jc w:val="both"/>
        <w:rPr>
          <w:rFonts w:ascii="Arial" w:hAnsi="Arial" w:cs="Arial"/>
          <w:i/>
          <w:iCs/>
        </w:rPr>
      </w:pPr>
    </w:p>
    <w:p w14:paraId="4C5AE889" w14:textId="77777777" w:rsidR="00943761" w:rsidRPr="00CB4DED" w:rsidRDefault="00943761" w:rsidP="004C7733">
      <w:pPr>
        <w:pStyle w:val="Sinespaciado"/>
        <w:ind w:left="567"/>
        <w:jc w:val="both"/>
        <w:rPr>
          <w:rFonts w:ascii="Arial" w:hAnsi="Arial" w:cs="Arial"/>
          <w:i/>
          <w:iCs/>
          <w:lang w:val="es-ES_tradnl"/>
        </w:rPr>
      </w:pPr>
      <w:r w:rsidRPr="00CB4DED">
        <w:rPr>
          <w:rFonts w:ascii="Arial" w:hAnsi="Arial" w:cs="Arial"/>
          <w:b/>
          <w:bCs/>
          <w:i/>
          <w:iCs/>
          <w:lang w:val="es-ES_tradnl"/>
        </w:rPr>
        <w:t>"Β. ΜΑΝTO: EN LA VISITA EFECTUADA, SE OBSERVA QUE EL MANTO INSTALADO EN LA CUBIERTA, PRESENTA DETERIORO PREMATURO."</w:t>
      </w:r>
      <w:r w:rsidRPr="00CB4DED">
        <w:rPr>
          <w:rFonts w:ascii="Arial" w:hAnsi="Arial" w:cs="Arial"/>
          <w:i/>
          <w:iCs/>
          <w:lang w:val="es-ES_tradnl"/>
        </w:rPr>
        <w:t xml:space="preserve"> </w:t>
      </w:r>
    </w:p>
    <w:p w14:paraId="1571DEE7" w14:textId="77777777" w:rsidR="00943761" w:rsidRPr="00CB4DED" w:rsidRDefault="00943761" w:rsidP="004C7733">
      <w:pPr>
        <w:pStyle w:val="Sinespaciado"/>
        <w:ind w:left="567"/>
        <w:jc w:val="both"/>
        <w:rPr>
          <w:rFonts w:ascii="Arial" w:hAnsi="Arial" w:cs="Arial"/>
          <w:i/>
          <w:iCs/>
          <w:lang w:val="es-ES_tradnl"/>
        </w:rPr>
      </w:pPr>
    </w:p>
    <w:p w14:paraId="404A341E" w14:textId="4C8111B1" w:rsidR="008C5577" w:rsidRPr="00CB4DED" w:rsidRDefault="00943761" w:rsidP="004C7733">
      <w:pPr>
        <w:pStyle w:val="Sinespaciado"/>
        <w:ind w:left="567"/>
        <w:jc w:val="both"/>
        <w:rPr>
          <w:rFonts w:ascii="Arial" w:hAnsi="Arial" w:cs="Arial"/>
          <w:i/>
          <w:iCs/>
        </w:rPr>
      </w:pPr>
      <w:r w:rsidRPr="00CB4DED">
        <w:rPr>
          <w:rFonts w:ascii="Arial" w:hAnsi="Arial" w:cs="Arial"/>
          <w:i/>
          <w:iCs/>
          <w:lang w:val="es-ES_tradnl"/>
        </w:rPr>
        <w:t>Con respecto al requerimiento, en la visita se pudo evidenciar que el manto instalado sigue sin ser subsanado por el enajenador, presentando deterioro en diferentes zonas de la cubierta. De acuerdo con lo anterior, se considera que la sociedad enajenadora NO ha realizado los trabajos tendientes a subsanar el deterioro del manto de la cubierta, de acuerdo con lo estipulado en el artículo segundo de la Resolución 2609 del 28 de septiembre de 2016. Razón por el cual el hecho PERSISTE.</w:t>
      </w:r>
    </w:p>
    <w:p w14:paraId="6C0B36E1" w14:textId="77777777" w:rsidR="008C5577" w:rsidRPr="00CB4DED" w:rsidRDefault="008C5577" w:rsidP="004C7733">
      <w:pPr>
        <w:pStyle w:val="Sinespaciado"/>
        <w:ind w:left="567"/>
        <w:jc w:val="both"/>
        <w:rPr>
          <w:rFonts w:ascii="Arial" w:hAnsi="Arial" w:cs="Arial"/>
          <w:i/>
          <w:iCs/>
        </w:rPr>
      </w:pPr>
    </w:p>
    <w:p w14:paraId="686A9FFA" w14:textId="77777777" w:rsidR="00943761" w:rsidRPr="00CB4DED" w:rsidRDefault="00943761" w:rsidP="00943761">
      <w:pPr>
        <w:ind w:left="567"/>
        <w:jc w:val="both"/>
        <w:rPr>
          <w:rFonts w:ascii="Arial" w:eastAsiaTheme="minorHAnsi" w:hAnsi="Arial" w:cs="Arial"/>
          <w:i/>
          <w:iCs/>
          <w:sz w:val="22"/>
          <w:szCs w:val="22"/>
          <w:lang w:eastAsia="en-US"/>
        </w:rPr>
      </w:pPr>
      <w:r w:rsidRPr="00CB4DED">
        <w:rPr>
          <w:rFonts w:ascii="Arial" w:eastAsiaTheme="minorHAnsi" w:hAnsi="Arial" w:cs="Arial"/>
          <w:b/>
          <w:bCs/>
          <w:i/>
          <w:iCs/>
          <w:sz w:val="22"/>
          <w:szCs w:val="22"/>
          <w:lang w:eastAsia="en-US"/>
        </w:rPr>
        <w:t>"C. SIFONES: SE OBSERVAN SIFONES EN EL ÁREA DE CUBIERTA LOS CUALES NO CUENTAN CON REJILLA DE PROTECCIÓN"</w:t>
      </w:r>
      <w:r w:rsidRPr="00CB4DED">
        <w:rPr>
          <w:rFonts w:ascii="Arial" w:eastAsiaTheme="minorHAnsi" w:hAnsi="Arial" w:cs="Arial"/>
          <w:i/>
          <w:iCs/>
          <w:sz w:val="22"/>
          <w:szCs w:val="22"/>
          <w:lang w:eastAsia="en-US"/>
        </w:rPr>
        <w:t xml:space="preserve"> </w:t>
      </w:r>
    </w:p>
    <w:p w14:paraId="48DFC6A2" w14:textId="77777777" w:rsidR="00943761" w:rsidRPr="00CB4DED" w:rsidRDefault="00943761" w:rsidP="00943761">
      <w:pPr>
        <w:ind w:left="567"/>
        <w:jc w:val="both"/>
        <w:rPr>
          <w:rFonts w:ascii="Arial" w:eastAsiaTheme="minorHAnsi" w:hAnsi="Arial" w:cs="Arial"/>
          <w:i/>
          <w:iCs/>
          <w:sz w:val="22"/>
          <w:szCs w:val="22"/>
          <w:lang w:eastAsia="en-US"/>
        </w:rPr>
      </w:pPr>
    </w:p>
    <w:p w14:paraId="60F71E21" w14:textId="5D8816CE" w:rsidR="003A2C21" w:rsidRPr="00CB4DED" w:rsidRDefault="00943761" w:rsidP="00943761">
      <w:pPr>
        <w:ind w:left="567"/>
        <w:jc w:val="both"/>
        <w:rPr>
          <w:rFonts w:ascii="Arial" w:eastAsiaTheme="minorHAnsi" w:hAnsi="Arial" w:cs="Arial"/>
          <w:i/>
          <w:iCs/>
          <w:sz w:val="22"/>
          <w:szCs w:val="22"/>
          <w:lang w:eastAsia="en-US"/>
        </w:rPr>
      </w:pPr>
      <w:r w:rsidRPr="00CB4DED">
        <w:rPr>
          <w:rFonts w:ascii="Arial" w:eastAsiaTheme="minorHAnsi" w:hAnsi="Arial" w:cs="Arial"/>
          <w:i/>
          <w:iCs/>
          <w:sz w:val="22"/>
          <w:szCs w:val="22"/>
          <w:lang w:eastAsia="en-US"/>
        </w:rPr>
        <w:t>Con respecto al requerimiento, el administrador indica que no tiene conocimiento claro de los puntos de la queja, sin embargo, en la visita se pudo evidenciar que un sifón de la cubierta no cuenta con instalación de rejilla. No obstante, conforme a los informes presentados anteriormente se evidencia los alegatos del administrador, donde indica que los sifones fueron instalados por el administrador anterior en marzo de 2018. De acuerdo con lo anterior, se considera que la copropiedad subsano la instalación de rejillas en sifones de cubierta, de acuerdo con lo estipulado en el artículo segundo de la Resolución 2609 del 28 de septiembre de 2016. Razón por el cual el hecho NO PERSISTE.</w:t>
      </w:r>
    </w:p>
    <w:p w14:paraId="2401CE6B" w14:textId="77777777" w:rsidR="00943761" w:rsidRPr="00CB4DED" w:rsidRDefault="00943761" w:rsidP="00943761">
      <w:pPr>
        <w:ind w:left="567"/>
        <w:jc w:val="both"/>
        <w:rPr>
          <w:rFonts w:ascii="Arial" w:eastAsiaTheme="minorHAnsi" w:hAnsi="Arial" w:cs="Arial"/>
          <w:i/>
          <w:iCs/>
          <w:sz w:val="22"/>
          <w:szCs w:val="22"/>
          <w:lang w:eastAsia="en-US"/>
        </w:rPr>
      </w:pPr>
    </w:p>
    <w:p w14:paraId="407EBCD6" w14:textId="77777777" w:rsidR="00943761" w:rsidRPr="00CB4DED" w:rsidRDefault="00943761" w:rsidP="00943761">
      <w:pPr>
        <w:ind w:left="567"/>
        <w:jc w:val="both"/>
        <w:rPr>
          <w:rFonts w:ascii="Arial" w:hAnsi="Arial" w:cs="Arial"/>
          <w:i/>
          <w:iCs/>
          <w:sz w:val="22"/>
          <w:szCs w:val="22"/>
          <w:shd w:val="clear" w:color="auto" w:fill="FFFFFF"/>
        </w:rPr>
      </w:pPr>
      <w:r w:rsidRPr="00CB4DED">
        <w:rPr>
          <w:rFonts w:ascii="Arial" w:hAnsi="Arial" w:cs="Arial"/>
          <w:b/>
          <w:bCs/>
          <w:i/>
          <w:iCs/>
          <w:sz w:val="22"/>
          <w:szCs w:val="22"/>
          <w:shd w:val="clear" w:color="auto" w:fill="FFFFFF"/>
        </w:rPr>
        <w:t>"7-EMPOZAMIENTO DE AGUA EN AISLAMIENTO POSTERIOR PRIMER PISO."</w:t>
      </w:r>
      <w:r w:rsidRPr="00CB4DED">
        <w:rPr>
          <w:rFonts w:ascii="Arial" w:hAnsi="Arial" w:cs="Arial"/>
          <w:i/>
          <w:iCs/>
          <w:sz w:val="22"/>
          <w:szCs w:val="22"/>
          <w:shd w:val="clear" w:color="auto" w:fill="FFFFFF"/>
        </w:rPr>
        <w:t xml:space="preserve"> </w:t>
      </w:r>
    </w:p>
    <w:p w14:paraId="1FCEE7D8" w14:textId="77777777" w:rsidR="00943761" w:rsidRPr="00CB4DED" w:rsidRDefault="00943761" w:rsidP="00943761">
      <w:pPr>
        <w:ind w:left="567"/>
        <w:jc w:val="both"/>
        <w:rPr>
          <w:rFonts w:ascii="Arial" w:hAnsi="Arial" w:cs="Arial"/>
          <w:i/>
          <w:iCs/>
          <w:sz w:val="22"/>
          <w:szCs w:val="22"/>
          <w:shd w:val="clear" w:color="auto" w:fill="FFFFFF"/>
        </w:rPr>
      </w:pPr>
    </w:p>
    <w:p w14:paraId="096B3E89" w14:textId="591F460B" w:rsidR="00943761" w:rsidRPr="00CB4DED" w:rsidRDefault="00943761" w:rsidP="00943761">
      <w:pPr>
        <w:ind w:left="567"/>
        <w:jc w:val="both"/>
        <w:rPr>
          <w:rFonts w:ascii="Arial" w:hAnsi="Arial" w:cs="Arial"/>
          <w:i/>
          <w:iCs/>
          <w:sz w:val="22"/>
          <w:szCs w:val="22"/>
          <w:shd w:val="clear" w:color="auto" w:fill="FFFFFF"/>
        </w:rPr>
      </w:pPr>
      <w:r w:rsidRPr="00CB4DED">
        <w:rPr>
          <w:rFonts w:ascii="Arial" w:hAnsi="Arial" w:cs="Arial"/>
          <w:i/>
          <w:iCs/>
          <w:sz w:val="22"/>
          <w:szCs w:val="22"/>
          <w:shd w:val="clear" w:color="auto" w:fill="FFFFFF"/>
        </w:rPr>
        <w:t>Con respecto al requerimiento, en la visita se pudo evidenciar que el hecho fue subsanado, según lo indicado por el administrador, la instalación de la cubierta en el aislamiento posterior fue realizada por la copropiedad. De acuerdo con lo anterior, se considera que la copropiedad subsano la instalación de cubierta en el aislamiento posterior, de acuerdo con lo estipulado en el artículo segundo de la Resolución 2609 del 28 de septiembre de 2016. Razón por el cual el hecho NO PERSISTE.</w:t>
      </w:r>
    </w:p>
    <w:p w14:paraId="3F8D30A5" w14:textId="77777777" w:rsidR="00943761" w:rsidRPr="00CB4DED" w:rsidRDefault="00943761" w:rsidP="00943761">
      <w:pPr>
        <w:ind w:left="567"/>
        <w:jc w:val="both"/>
        <w:rPr>
          <w:rFonts w:ascii="Arial" w:hAnsi="Arial" w:cs="Arial"/>
          <w:i/>
          <w:iCs/>
          <w:sz w:val="22"/>
          <w:szCs w:val="22"/>
          <w:shd w:val="clear" w:color="auto" w:fill="FFFFFF"/>
        </w:rPr>
      </w:pPr>
    </w:p>
    <w:p w14:paraId="05A1D71A" w14:textId="77777777" w:rsidR="00943761" w:rsidRPr="00CB4DED" w:rsidRDefault="00943761" w:rsidP="00943761">
      <w:pPr>
        <w:ind w:left="567"/>
        <w:jc w:val="both"/>
        <w:rPr>
          <w:rFonts w:ascii="Arial" w:hAnsi="Arial" w:cs="Arial"/>
          <w:b/>
          <w:bCs/>
          <w:i/>
          <w:iCs/>
          <w:sz w:val="22"/>
          <w:szCs w:val="22"/>
          <w:shd w:val="clear" w:color="auto" w:fill="FFFFFF"/>
        </w:rPr>
      </w:pPr>
      <w:r w:rsidRPr="00CB4DED">
        <w:rPr>
          <w:rFonts w:ascii="Arial" w:hAnsi="Arial" w:cs="Arial"/>
          <w:b/>
          <w:bCs/>
          <w:i/>
          <w:iCs/>
          <w:sz w:val="22"/>
          <w:szCs w:val="22"/>
          <w:shd w:val="clear" w:color="auto" w:fill="FFFFFF"/>
        </w:rPr>
        <w:t xml:space="preserve">"8-HUMEDAD EN TECHO DE SÓTANOS." </w:t>
      </w:r>
    </w:p>
    <w:p w14:paraId="38ADE9BC" w14:textId="77777777" w:rsidR="00943761" w:rsidRPr="00CB4DED" w:rsidRDefault="00943761" w:rsidP="00943761">
      <w:pPr>
        <w:ind w:left="567"/>
        <w:jc w:val="both"/>
        <w:rPr>
          <w:rFonts w:ascii="Arial" w:hAnsi="Arial" w:cs="Arial"/>
          <w:b/>
          <w:bCs/>
          <w:i/>
          <w:iCs/>
          <w:sz w:val="22"/>
          <w:szCs w:val="22"/>
          <w:shd w:val="clear" w:color="auto" w:fill="FFFFFF"/>
        </w:rPr>
      </w:pPr>
    </w:p>
    <w:p w14:paraId="4CC4FE16" w14:textId="2CC5BB44" w:rsidR="00943761" w:rsidRPr="00CB4DED" w:rsidRDefault="00943761" w:rsidP="00943761">
      <w:pPr>
        <w:ind w:left="567"/>
        <w:jc w:val="both"/>
        <w:rPr>
          <w:rFonts w:ascii="Arial" w:hAnsi="Arial" w:cs="Arial"/>
          <w:i/>
          <w:iCs/>
          <w:sz w:val="22"/>
          <w:szCs w:val="22"/>
          <w:shd w:val="clear" w:color="auto" w:fill="FFFFFF"/>
        </w:rPr>
      </w:pPr>
      <w:r w:rsidRPr="00CB4DED">
        <w:rPr>
          <w:rFonts w:ascii="Arial" w:hAnsi="Arial" w:cs="Arial"/>
          <w:i/>
          <w:iCs/>
          <w:sz w:val="22"/>
          <w:szCs w:val="22"/>
          <w:shd w:val="clear" w:color="auto" w:fill="FFFFFF"/>
        </w:rPr>
        <w:t>Con respecto al requerimiento, en la visita se pudo evidenciar que el hecho fue subsanado, según lo indicado por el administrador, la copropiedad se encargó de realizar los arreglos correspondientes para evitar la presencia de filtraciones y humedad en el techo del sótano, de acuerdo con lo estipulado en el artículo segundo de la Resolución 2609 del 28 de septiembre de 2016. Razón por el cual el hecho NO PERSISTE.</w:t>
      </w:r>
    </w:p>
    <w:p w14:paraId="640662CD" w14:textId="77777777" w:rsidR="00943761" w:rsidRPr="00CB4DED" w:rsidRDefault="00943761" w:rsidP="00943761">
      <w:pPr>
        <w:ind w:left="567"/>
        <w:jc w:val="both"/>
        <w:rPr>
          <w:rFonts w:ascii="Arial" w:hAnsi="Arial" w:cs="Arial"/>
          <w:i/>
          <w:iCs/>
          <w:sz w:val="22"/>
          <w:szCs w:val="22"/>
          <w:shd w:val="clear" w:color="auto" w:fill="FFFFFF"/>
        </w:rPr>
      </w:pPr>
    </w:p>
    <w:p w14:paraId="1BFA05AF" w14:textId="77777777" w:rsidR="00943761" w:rsidRPr="00CB4DED" w:rsidRDefault="00943761" w:rsidP="00943761">
      <w:pPr>
        <w:ind w:left="567"/>
        <w:jc w:val="both"/>
        <w:rPr>
          <w:rFonts w:ascii="Arial" w:hAnsi="Arial" w:cs="Arial"/>
          <w:i/>
          <w:iCs/>
          <w:sz w:val="22"/>
          <w:szCs w:val="22"/>
          <w:shd w:val="clear" w:color="auto" w:fill="FFFFFF"/>
          <w:lang w:val="es-CO"/>
        </w:rPr>
      </w:pPr>
      <w:r w:rsidRPr="00CB4DED">
        <w:rPr>
          <w:rFonts w:ascii="Arial" w:hAnsi="Arial" w:cs="Arial"/>
          <w:b/>
          <w:bCs/>
          <w:i/>
          <w:iCs/>
          <w:sz w:val="22"/>
          <w:szCs w:val="22"/>
          <w:shd w:val="clear" w:color="auto" w:fill="FFFFFF"/>
          <w:lang w:val="es-CO"/>
        </w:rPr>
        <w:t>"9- SUPERFICIE LISA EN ESCALERA DE ACCESO DESDE RECEPCIÓN AL SEGUNDO PISO."</w:t>
      </w:r>
      <w:r w:rsidRPr="00CB4DED">
        <w:rPr>
          <w:rFonts w:ascii="Arial" w:hAnsi="Arial" w:cs="Arial"/>
          <w:i/>
          <w:iCs/>
          <w:sz w:val="22"/>
          <w:szCs w:val="22"/>
          <w:shd w:val="clear" w:color="auto" w:fill="FFFFFF"/>
          <w:lang w:val="es-CO"/>
        </w:rPr>
        <w:t xml:space="preserve"> </w:t>
      </w:r>
    </w:p>
    <w:p w14:paraId="08A1BBEA" w14:textId="77777777" w:rsidR="00943761" w:rsidRPr="00CB4DED" w:rsidRDefault="00943761" w:rsidP="00943761">
      <w:pPr>
        <w:ind w:left="567"/>
        <w:jc w:val="both"/>
        <w:rPr>
          <w:rFonts w:ascii="Arial" w:hAnsi="Arial" w:cs="Arial"/>
          <w:i/>
          <w:iCs/>
          <w:sz w:val="22"/>
          <w:szCs w:val="22"/>
          <w:shd w:val="clear" w:color="auto" w:fill="FFFFFF"/>
          <w:lang w:val="es-CO"/>
        </w:rPr>
      </w:pPr>
    </w:p>
    <w:p w14:paraId="277B5CB2" w14:textId="61B8C671" w:rsidR="00943761" w:rsidRPr="00CB4DED" w:rsidRDefault="00943761" w:rsidP="00943761">
      <w:pPr>
        <w:ind w:left="567"/>
        <w:jc w:val="both"/>
        <w:rPr>
          <w:rFonts w:ascii="Arial" w:hAnsi="Arial" w:cs="Arial"/>
          <w:i/>
          <w:iCs/>
          <w:sz w:val="22"/>
          <w:szCs w:val="22"/>
          <w:shd w:val="clear" w:color="auto" w:fill="FFFFFF"/>
          <w:lang w:val="es-CO"/>
        </w:rPr>
      </w:pPr>
      <w:r w:rsidRPr="00CB4DED">
        <w:rPr>
          <w:rFonts w:ascii="Arial" w:hAnsi="Arial" w:cs="Arial"/>
          <w:i/>
          <w:iCs/>
          <w:sz w:val="22"/>
          <w:szCs w:val="22"/>
          <w:shd w:val="clear" w:color="auto" w:fill="FFFFFF"/>
          <w:lang w:val="es-CO"/>
        </w:rPr>
        <w:t xml:space="preserve">Con respecto al requerimiento, en la visita se pudo evidenciar que el hecho se encontraba subsanado, en el informe de verificación de hechos No. 22- 316 del 15 de junio de 2022, el administrador constata que en el mes de marzo de 2018 la administración anterior realizó la instalación de un sistema antideslizante en la escalera, información que no fue brindada en la visita actual. De acuerdo con lo anterior, se considera que la copropiedad subsano la instalación de cubierta en el aislamiento posterior, de acuerdo con lo estipulado en el artículo segundo de la Resolución 2609 del 28 de septiembre de 2016. Razón por el cual el hecho NO PERSISTE. </w:t>
      </w:r>
    </w:p>
    <w:p w14:paraId="429FD9ED" w14:textId="7FFF61A2" w:rsidR="00943761" w:rsidRPr="00CB4DED" w:rsidRDefault="00943761" w:rsidP="00943761">
      <w:pPr>
        <w:ind w:left="567"/>
        <w:jc w:val="both"/>
        <w:rPr>
          <w:rFonts w:ascii="Arial" w:hAnsi="Arial" w:cs="Arial"/>
          <w:i/>
          <w:iCs/>
          <w:sz w:val="22"/>
          <w:szCs w:val="22"/>
          <w:shd w:val="clear" w:color="auto" w:fill="FFFFFF"/>
          <w:lang w:val="es-CO"/>
        </w:rPr>
      </w:pPr>
    </w:p>
    <w:p w14:paraId="455D3090" w14:textId="77777777" w:rsidR="00943761" w:rsidRPr="00CB4DED" w:rsidRDefault="00943761" w:rsidP="00943761">
      <w:pPr>
        <w:ind w:left="567"/>
        <w:jc w:val="both"/>
        <w:rPr>
          <w:rFonts w:ascii="Arial" w:hAnsi="Arial" w:cs="Arial"/>
          <w:i/>
          <w:iCs/>
          <w:sz w:val="22"/>
          <w:szCs w:val="22"/>
          <w:shd w:val="clear" w:color="auto" w:fill="FFFFFF"/>
          <w:lang w:val="es-CO"/>
        </w:rPr>
      </w:pPr>
      <w:r w:rsidRPr="00CB4DED">
        <w:rPr>
          <w:rFonts w:ascii="Arial" w:hAnsi="Arial" w:cs="Arial"/>
          <w:b/>
          <w:bCs/>
          <w:i/>
          <w:iCs/>
          <w:sz w:val="22"/>
          <w:szCs w:val="22"/>
          <w:shd w:val="clear" w:color="auto" w:fill="FFFFFF"/>
          <w:lang w:val="es-CO"/>
        </w:rPr>
        <w:t>"10-ACCESO A DISCAPACITADOS."</w:t>
      </w:r>
      <w:r w:rsidRPr="00CB4DED">
        <w:rPr>
          <w:rFonts w:ascii="Arial" w:hAnsi="Arial" w:cs="Arial"/>
          <w:i/>
          <w:iCs/>
          <w:sz w:val="22"/>
          <w:szCs w:val="22"/>
          <w:shd w:val="clear" w:color="auto" w:fill="FFFFFF"/>
          <w:lang w:val="es-CO"/>
        </w:rPr>
        <w:t xml:space="preserve"> </w:t>
      </w:r>
    </w:p>
    <w:p w14:paraId="2788B890" w14:textId="77777777" w:rsidR="00943761" w:rsidRPr="00CB4DED" w:rsidRDefault="00943761" w:rsidP="00943761">
      <w:pPr>
        <w:ind w:left="567"/>
        <w:jc w:val="both"/>
        <w:rPr>
          <w:rFonts w:ascii="Arial" w:hAnsi="Arial" w:cs="Arial"/>
          <w:i/>
          <w:iCs/>
          <w:sz w:val="22"/>
          <w:szCs w:val="22"/>
          <w:shd w:val="clear" w:color="auto" w:fill="FFFFFF"/>
          <w:lang w:val="es-CO"/>
        </w:rPr>
      </w:pPr>
    </w:p>
    <w:p w14:paraId="09783AF5" w14:textId="231CEBA4" w:rsidR="00943761" w:rsidRPr="00CB4DED" w:rsidRDefault="00943761" w:rsidP="00943761">
      <w:pPr>
        <w:ind w:left="567"/>
        <w:jc w:val="both"/>
        <w:rPr>
          <w:rFonts w:ascii="Arial" w:hAnsi="Arial" w:cs="Arial"/>
          <w:i/>
          <w:iCs/>
          <w:sz w:val="22"/>
          <w:szCs w:val="22"/>
          <w:shd w:val="clear" w:color="auto" w:fill="FFFFFF"/>
          <w:lang w:val="es-CO"/>
        </w:rPr>
      </w:pPr>
      <w:r w:rsidRPr="00CB4DED">
        <w:rPr>
          <w:rFonts w:ascii="Arial" w:hAnsi="Arial" w:cs="Arial"/>
          <w:i/>
          <w:iCs/>
          <w:sz w:val="22"/>
          <w:szCs w:val="22"/>
          <w:shd w:val="clear" w:color="auto" w:fill="FFFFFF"/>
          <w:lang w:val="es-CO"/>
        </w:rPr>
        <w:t xml:space="preserve">Con respecto al requerimiento, en la visita se pudo evidenciar que el hecho no ha sido subsanado por el enajenador, de acuerdo con lo estipulado en el artículo segundo de la Resolución 2609 del 28 de septiembre de 2016. Razón por el cual el hecho PERSISTE. </w:t>
      </w:r>
    </w:p>
    <w:p w14:paraId="53196EDC" w14:textId="77777777" w:rsidR="00943761" w:rsidRPr="00CB4DED" w:rsidRDefault="00943761" w:rsidP="00943761">
      <w:pPr>
        <w:ind w:left="567"/>
        <w:jc w:val="both"/>
        <w:rPr>
          <w:rFonts w:ascii="Arial" w:hAnsi="Arial" w:cs="Arial"/>
          <w:i/>
          <w:iCs/>
          <w:sz w:val="22"/>
          <w:szCs w:val="22"/>
          <w:shd w:val="clear" w:color="auto" w:fill="FFFFFF"/>
          <w:lang w:val="es-CO"/>
        </w:rPr>
      </w:pPr>
      <w:r w:rsidRPr="00CB4DED">
        <w:rPr>
          <w:rFonts w:ascii="Arial" w:hAnsi="Arial" w:cs="Arial"/>
          <w:b/>
          <w:bCs/>
          <w:i/>
          <w:iCs/>
          <w:sz w:val="22"/>
          <w:szCs w:val="22"/>
          <w:shd w:val="clear" w:color="auto" w:fill="FFFFFF"/>
          <w:lang w:val="es-CO"/>
        </w:rPr>
        <w:t>"13-CUARTO DE BASURAS."</w:t>
      </w:r>
      <w:r w:rsidRPr="00CB4DED">
        <w:rPr>
          <w:rFonts w:ascii="Arial" w:hAnsi="Arial" w:cs="Arial"/>
          <w:i/>
          <w:iCs/>
          <w:sz w:val="22"/>
          <w:szCs w:val="22"/>
          <w:shd w:val="clear" w:color="auto" w:fill="FFFFFF"/>
          <w:lang w:val="es-CO"/>
        </w:rPr>
        <w:t xml:space="preserve"> </w:t>
      </w:r>
    </w:p>
    <w:p w14:paraId="5FA34E45" w14:textId="77777777" w:rsidR="00943761" w:rsidRPr="00CB4DED" w:rsidRDefault="00943761" w:rsidP="00943761">
      <w:pPr>
        <w:ind w:left="567"/>
        <w:jc w:val="both"/>
        <w:rPr>
          <w:rFonts w:ascii="Arial" w:hAnsi="Arial" w:cs="Arial"/>
          <w:i/>
          <w:iCs/>
          <w:sz w:val="22"/>
          <w:szCs w:val="22"/>
          <w:shd w:val="clear" w:color="auto" w:fill="FFFFFF"/>
          <w:lang w:val="es-CO"/>
        </w:rPr>
      </w:pPr>
    </w:p>
    <w:p w14:paraId="4B4DFD9D" w14:textId="11BECBF6" w:rsidR="00943761" w:rsidRPr="00CB4DED" w:rsidRDefault="00943761" w:rsidP="00943761">
      <w:pPr>
        <w:ind w:left="567"/>
        <w:jc w:val="both"/>
        <w:rPr>
          <w:rFonts w:ascii="Arial" w:hAnsi="Arial" w:cs="Arial"/>
          <w:i/>
          <w:iCs/>
          <w:sz w:val="22"/>
          <w:szCs w:val="22"/>
          <w:shd w:val="clear" w:color="auto" w:fill="FFFFFF"/>
          <w:lang w:val="es-CO"/>
        </w:rPr>
      </w:pPr>
      <w:r w:rsidRPr="00CB4DED">
        <w:rPr>
          <w:rFonts w:ascii="Arial" w:hAnsi="Arial" w:cs="Arial"/>
          <w:i/>
          <w:iCs/>
          <w:sz w:val="22"/>
          <w:szCs w:val="22"/>
          <w:shd w:val="clear" w:color="auto" w:fill="FFFFFF"/>
          <w:lang w:val="es-CO"/>
        </w:rPr>
        <w:t>Con respecto al requerimiento, en la visita se pudo evidenciar que el hecho no ha sido subsanado por el enajenador, se observa que en el cuarto de basuras no existe un sistema de detección de incendios. De acuerdo con lo anterior, se considera que la sociedad enajenadora NO ha realizado los trabajos tendientes a subsanar la instalación del sistema contra incendios en el cuarto de basuras, de acuerdo con lo estipulado en el artículo segundo de la Resolución 2609 del 28 de septiembre de 2016. Razón por el cual el hecho PERSISTE</w:t>
      </w:r>
    </w:p>
    <w:p w14:paraId="0DCADB47" w14:textId="77777777" w:rsidR="00943761" w:rsidRPr="00CB4DED" w:rsidRDefault="00943761" w:rsidP="008C5577">
      <w:pPr>
        <w:jc w:val="both"/>
        <w:rPr>
          <w:rFonts w:ascii="Arial" w:hAnsi="Arial" w:cs="Arial"/>
          <w:sz w:val="22"/>
          <w:szCs w:val="22"/>
          <w:shd w:val="clear" w:color="auto" w:fill="FFFFFF"/>
        </w:rPr>
      </w:pPr>
    </w:p>
    <w:p w14:paraId="24ED5A9F" w14:textId="1A32F8C7" w:rsidR="003A2C21" w:rsidRPr="00CB4DED" w:rsidRDefault="003A2C21" w:rsidP="003A2C21">
      <w:pPr>
        <w:jc w:val="both"/>
        <w:rPr>
          <w:rFonts w:ascii="Arial" w:hAnsi="Arial" w:cs="Arial"/>
          <w:sz w:val="22"/>
          <w:szCs w:val="22"/>
          <w:shd w:val="clear" w:color="auto" w:fill="FFFFFF"/>
        </w:rPr>
      </w:pPr>
      <w:r w:rsidRPr="00CB4DED">
        <w:rPr>
          <w:rFonts w:ascii="Arial" w:hAnsi="Arial" w:cs="Arial"/>
          <w:sz w:val="22"/>
          <w:szCs w:val="22"/>
          <w:shd w:val="clear" w:color="auto" w:fill="FFFFFF"/>
        </w:rPr>
        <w:t xml:space="preserve">Este Informe se produjo con base en la Visita Técnica realizada por funcionarios de esta </w:t>
      </w:r>
      <w:r w:rsidR="00D005E0" w:rsidRPr="00CB4DED">
        <w:rPr>
          <w:rFonts w:ascii="Arial" w:eastAsia="Arial" w:hAnsi="Arial" w:cs="Arial"/>
          <w:color w:val="000000"/>
          <w:sz w:val="22"/>
          <w:szCs w:val="22"/>
        </w:rPr>
        <w:t>Dirección</w:t>
      </w:r>
      <w:r w:rsidR="00D005E0" w:rsidRPr="00CB4DED">
        <w:rPr>
          <w:rFonts w:ascii="Arial" w:hAnsi="Arial" w:cs="Arial"/>
          <w:sz w:val="22"/>
          <w:szCs w:val="22"/>
          <w:shd w:val="clear" w:color="auto" w:fill="FFFFFF"/>
        </w:rPr>
        <w:t xml:space="preserve"> </w:t>
      </w:r>
      <w:r w:rsidR="00943761" w:rsidRPr="00CB4DED">
        <w:rPr>
          <w:rFonts w:ascii="Arial" w:hAnsi="Arial" w:cs="Arial"/>
          <w:sz w:val="22"/>
          <w:szCs w:val="22"/>
          <w:shd w:val="clear" w:color="auto" w:fill="FFFFFF"/>
        </w:rPr>
        <w:t xml:space="preserve">al </w:t>
      </w:r>
      <w:r w:rsidRPr="00CB4DED">
        <w:rPr>
          <w:rFonts w:ascii="Arial" w:hAnsi="Arial" w:cs="Arial"/>
          <w:sz w:val="22"/>
          <w:szCs w:val="22"/>
          <w:shd w:val="clear" w:color="auto" w:fill="FFFFFF"/>
        </w:rPr>
        <w:t xml:space="preserve">proyecto de vivienda </w:t>
      </w:r>
      <w:r w:rsidR="00235103" w:rsidRPr="00CB4DED">
        <w:rPr>
          <w:rFonts w:ascii="Arial" w:hAnsi="Arial" w:cs="Arial"/>
          <w:color w:val="000000"/>
          <w:sz w:val="22"/>
          <w:szCs w:val="22"/>
        </w:rPr>
        <w:t>EDIFICIO SAN NICOLAS PLAZA - PROPIEDAD HORIZONTAL</w:t>
      </w:r>
      <w:r w:rsidRPr="00CB4DED">
        <w:rPr>
          <w:rFonts w:ascii="Arial" w:hAnsi="Arial" w:cs="Arial"/>
          <w:sz w:val="22"/>
          <w:szCs w:val="22"/>
          <w:shd w:val="clear" w:color="auto" w:fill="FFFFFF"/>
        </w:rPr>
        <w:t xml:space="preserve">, sobre este informe las </w:t>
      </w:r>
      <w:r w:rsidR="00235103" w:rsidRPr="00CB4DED">
        <w:rPr>
          <w:rFonts w:ascii="Arial" w:hAnsi="Arial" w:cs="Arial"/>
          <w:sz w:val="22"/>
          <w:szCs w:val="22"/>
          <w:shd w:val="clear" w:color="auto" w:fill="FFFFFF"/>
        </w:rPr>
        <w:t xml:space="preserve">partes </w:t>
      </w:r>
      <w:r w:rsidRPr="00CB4DED">
        <w:rPr>
          <w:rFonts w:ascii="Arial" w:hAnsi="Arial" w:cs="Arial"/>
          <w:sz w:val="22"/>
          <w:szCs w:val="22"/>
          <w:shd w:val="clear" w:color="auto" w:fill="FFFFFF"/>
        </w:rPr>
        <w:t xml:space="preserve">tuvieron la oportunidad de ejercer el </w:t>
      </w:r>
      <w:r w:rsidRPr="00CB4DED">
        <w:rPr>
          <w:rFonts w:ascii="Arial" w:hAnsi="Arial" w:cs="Arial"/>
          <w:b/>
          <w:bCs/>
          <w:sz w:val="22"/>
          <w:szCs w:val="22"/>
          <w:shd w:val="clear" w:color="auto" w:fill="FFFFFF"/>
        </w:rPr>
        <w:t>derecho de contradicción</w:t>
      </w:r>
      <w:r w:rsidRPr="00CB4DED">
        <w:rPr>
          <w:rStyle w:val="Refdenotaalpie"/>
          <w:rFonts w:ascii="Arial" w:hAnsi="Arial" w:cs="Arial"/>
          <w:sz w:val="22"/>
          <w:szCs w:val="22"/>
          <w:shd w:val="clear" w:color="auto" w:fill="FFFFFF"/>
        </w:rPr>
        <w:footnoteReference w:id="4"/>
      </w:r>
      <w:r w:rsidRPr="00CB4DED">
        <w:rPr>
          <w:rFonts w:ascii="Arial" w:hAnsi="Arial" w:cs="Arial"/>
          <w:sz w:val="22"/>
          <w:szCs w:val="22"/>
          <w:shd w:val="clear" w:color="auto" w:fill="FFFFFF"/>
        </w:rPr>
        <w:t xml:space="preserve"> por cuanto se les dio traslado del mismo, observando que ni </w:t>
      </w:r>
      <w:r w:rsidR="0006741B" w:rsidRPr="00CB4DED">
        <w:rPr>
          <w:rFonts w:ascii="Arial" w:hAnsi="Arial" w:cs="Arial"/>
          <w:sz w:val="22"/>
          <w:szCs w:val="22"/>
          <w:shd w:val="clear" w:color="auto" w:fill="FFFFFF"/>
        </w:rPr>
        <w:t>el</w:t>
      </w:r>
      <w:r w:rsidRPr="00CB4DED">
        <w:rPr>
          <w:rFonts w:ascii="Arial" w:hAnsi="Arial" w:cs="Arial"/>
          <w:sz w:val="22"/>
          <w:szCs w:val="22"/>
          <w:shd w:val="clear" w:color="auto" w:fill="FFFFFF"/>
        </w:rPr>
        <w:t xml:space="preserve"> propietari</w:t>
      </w:r>
      <w:r w:rsidR="0006741B" w:rsidRPr="00CB4DED">
        <w:rPr>
          <w:rFonts w:ascii="Arial" w:hAnsi="Arial" w:cs="Arial"/>
          <w:sz w:val="22"/>
          <w:szCs w:val="22"/>
          <w:shd w:val="clear" w:color="auto" w:fill="FFFFFF"/>
        </w:rPr>
        <w:t>o</w:t>
      </w:r>
      <w:r w:rsidRPr="00CB4DED">
        <w:rPr>
          <w:rFonts w:ascii="Arial" w:hAnsi="Arial" w:cs="Arial"/>
          <w:sz w:val="22"/>
          <w:szCs w:val="22"/>
          <w:shd w:val="clear" w:color="auto" w:fill="FFFFFF"/>
        </w:rPr>
        <w:t xml:space="preserve"> ni la sociedad enajenadora hicieron manifestación al respecto. </w:t>
      </w:r>
    </w:p>
    <w:p w14:paraId="40BA4AEC" w14:textId="77777777" w:rsidR="003A2C21" w:rsidRPr="00CB4DED" w:rsidRDefault="003A2C21" w:rsidP="003A2C21">
      <w:pPr>
        <w:jc w:val="both"/>
        <w:rPr>
          <w:rFonts w:ascii="Arial" w:hAnsi="Arial" w:cs="Arial"/>
          <w:sz w:val="22"/>
          <w:szCs w:val="22"/>
          <w:shd w:val="clear" w:color="auto" w:fill="FFFFFF"/>
        </w:rPr>
      </w:pPr>
    </w:p>
    <w:p w14:paraId="45D90C50" w14:textId="1FB324EC" w:rsidR="003A2C21" w:rsidRPr="00CB4DED" w:rsidRDefault="003A2C21" w:rsidP="003A2C21">
      <w:pPr>
        <w:jc w:val="both"/>
        <w:rPr>
          <w:rFonts w:ascii="Arial" w:hAnsi="Arial" w:cs="Arial"/>
          <w:sz w:val="22"/>
          <w:szCs w:val="22"/>
          <w:shd w:val="clear" w:color="auto" w:fill="FFFFFF"/>
        </w:rPr>
      </w:pPr>
      <w:r w:rsidRPr="00CB4DED">
        <w:rPr>
          <w:rFonts w:ascii="Arial" w:hAnsi="Arial" w:cs="Arial"/>
          <w:sz w:val="22"/>
          <w:szCs w:val="22"/>
          <w:shd w:val="clear" w:color="auto" w:fill="FFFFFF"/>
        </w:rPr>
        <w:t xml:space="preserve">Se precisa que, de conformidad con lo previsto en el artículo </w:t>
      </w:r>
      <w:r w:rsidR="009B0877" w:rsidRPr="00CB4DED">
        <w:rPr>
          <w:rFonts w:ascii="Arial" w:hAnsi="Arial" w:cs="Arial"/>
          <w:sz w:val="22"/>
          <w:szCs w:val="22"/>
          <w:shd w:val="clear" w:color="auto" w:fill="FFFFFF"/>
        </w:rPr>
        <w:t>11</w:t>
      </w:r>
      <w:r w:rsidRPr="00CB4DED">
        <w:rPr>
          <w:rFonts w:ascii="Arial" w:hAnsi="Arial" w:cs="Arial"/>
          <w:sz w:val="22"/>
          <w:szCs w:val="22"/>
          <w:shd w:val="clear" w:color="auto" w:fill="FFFFFF"/>
        </w:rPr>
        <w:t xml:space="preserve">5 del Decreto </w:t>
      </w:r>
      <w:r w:rsidR="009B0877" w:rsidRPr="00CB4DED">
        <w:rPr>
          <w:rFonts w:ascii="Arial" w:hAnsi="Arial" w:cs="Arial"/>
          <w:sz w:val="22"/>
          <w:szCs w:val="22"/>
          <w:shd w:val="clear" w:color="auto" w:fill="FFFFFF"/>
        </w:rPr>
        <w:t>653</w:t>
      </w:r>
      <w:r w:rsidRPr="00CB4DED">
        <w:rPr>
          <w:rFonts w:ascii="Arial" w:hAnsi="Arial" w:cs="Arial"/>
          <w:sz w:val="22"/>
          <w:szCs w:val="22"/>
          <w:shd w:val="clear" w:color="auto" w:fill="FFFFFF"/>
        </w:rPr>
        <w:t xml:space="preserve"> de 2025, la visita técnica tiene como finalidad “(…) </w:t>
      </w:r>
      <w:r w:rsidRPr="00CB4DED">
        <w:rPr>
          <w:rFonts w:ascii="Arial" w:hAnsi="Arial" w:cs="Arial"/>
          <w:b/>
          <w:bCs/>
          <w:sz w:val="22"/>
          <w:szCs w:val="22"/>
          <w:shd w:val="clear" w:color="auto" w:fill="FFFFFF"/>
        </w:rPr>
        <w:t>verificar los hechos de la queja, los denunciados durante la visita y aquellos que incorpore el servidor encargado, en cumplimiento de las facultades oficiosas de la entidad</w:t>
      </w:r>
      <w:r w:rsidRPr="00CB4DED">
        <w:rPr>
          <w:rFonts w:ascii="Arial" w:hAnsi="Arial" w:cs="Arial"/>
          <w:sz w:val="22"/>
          <w:szCs w:val="22"/>
          <w:shd w:val="clear" w:color="auto" w:fill="FFFFFF"/>
        </w:rPr>
        <w:t xml:space="preserve">” (Negrillas y subrayas por fuera del texto original). Adicionalmente, en el acta respectiva se consignan “(…) la totalidad de los </w:t>
      </w:r>
      <w:r w:rsidRPr="00CB4DED">
        <w:rPr>
          <w:rFonts w:ascii="Arial" w:hAnsi="Arial" w:cs="Arial"/>
          <w:b/>
          <w:bCs/>
          <w:sz w:val="22"/>
          <w:szCs w:val="22"/>
          <w:shd w:val="clear" w:color="auto" w:fill="FFFFFF"/>
        </w:rPr>
        <w:t>hechos constatados</w:t>
      </w:r>
      <w:r w:rsidRPr="00CB4DED">
        <w:rPr>
          <w:rFonts w:ascii="Arial" w:hAnsi="Arial" w:cs="Arial"/>
          <w:sz w:val="22"/>
          <w:szCs w:val="22"/>
          <w:shd w:val="clear" w:color="auto" w:fill="FFFFFF"/>
        </w:rPr>
        <w:t>” (Negrillas y subrayas por fuera del texto original) y, se elabora un informe técnico sobre los hallazgos encontrados con base en dicha acta.</w:t>
      </w:r>
    </w:p>
    <w:p w14:paraId="32BA24F7" w14:textId="77777777" w:rsidR="003A2C21" w:rsidRPr="00CB4DED" w:rsidRDefault="003A2C21" w:rsidP="003A2C21">
      <w:pPr>
        <w:jc w:val="both"/>
        <w:rPr>
          <w:rFonts w:ascii="Arial" w:hAnsi="Arial" w:cs="Arial"/>
          <w:sz w:val="22"/>
          <w:szCs w:val="22"/>
          <w:shd w:val="clear" w:color="auto" w:fill="FFFFFF"/>
        </w:rPr>
      </w:pPr>
    </w:p>
    <w:p w14:paraId="2A28F1A5" w14:textId="77777777" w:rsidR="003A2C21" w:rsidRPr="00CB4DED" w:rsidRDefault="003A2C21" w:rsidP="003A2C21">
      <w:pPr>
        <w:jc w:val="both"/>
        <w:rPr>
          <w:rFonts w:ascii="Arial" w:hAnsi="Arial" w:cs="Arial"/>
          <w:sz w:val="22"/>
          <w:szCs w:val="22"/>
          <w:shd w:val="clear" w:color="auto" w:fill="FFFFFF"/>
        </w:rPr>
      </w:pPr>
      <w:r w:rsidRPr="00CB4DED">
        <w:rPr>
          <w:rFonts w:ascii="Arial" w:hAnsi="Arial" w:cs="Arial"/>
          <w:sz w:val="22"/>
          <w:szCs w:val="22"/>
          <w:shd w:val="clear" w:color="auto" w:fill="FFFFFF"/>
        </w:rPr>
        <w:t xml:space="preserve">Así pues, dado que, en el informe técnico, como se ha dicho, se consignan hechos constatados, este se constituye en prueba conducente, pertinente y útil, y por tanto demostrativa de los hallazgos que en el mismo se consignan, con la identificación de sus características, estado, causas, intervenciones y, en fin, los detalles técnicos que plasme el profesional designado para llevar a cabo la visita técnica. </w:t>
      </w:r>
    </w:p>
    <w:p w14:paraId="7FCB1F94" w14:textId="77777777" w:rsidR="003A2C21" w:rsidRPr="00CB4DED" w:rsidRDefault="003A2C21" w:rsidP="003A2C21">
      <w:pPr>
        <w:jc w:val="both"/>
        <w:rPr>
          <w:rFonts w:ascii="Arial" w:hAnsi="Arial" w:cs="Arial"/>
          <w:sz w:val="22"/>
          <w:szCs w:val="22"/>
          <w:shd w:val="clear" w:color="auto" w:fill="FFFFFF"/>
        </w:rPr>
      </w:pPr>
    </w:p>
    <w:p w14:paraId="2E876C66" w14:textId="77777777" w:rsidR="003A2C21" w:rsidRPr="00CB4DED" w:rsidRDefault="003A2C21" w:rsidP="003A2C21">
      <w:pPr>
        <w:jc w:val="both"/>
        <w:rPr>
          <w:rFonts w:ascii="Arial" w:hAnsi="Arial" w:cs="Arial"/>
          <w:sz w:val="22"/>
          <w:szCs w:val="22"/>
          <w:shd w:val="clear" w:color="auto" w:fill="FFFFFF"/>
        </w:rPr>
      </w:pPr>
      <w:r w:rsidRPr="00CB4DED">
        <w:rPr>
          <w:rFonts w:ascii="Arial" w:hAnsi="Arial" w:cs="Arial"/>
          <w:sz w:val="22"/>
          <w:szCs w:val="22"/>
          <w:shd w:val="clear" w:color="auto" w:fill="FFFFFF"/>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1C5653CF" w14:textId="77777777" w:rsidR="003A2C21" w:rsidRPr="00CB4DED" w:rsidRDefault="003A2C21" w:rsidP="003A2C21">
      <w:pPr>
        <w:jc w:val="both"/>
        <w:rPr>
          <w:rFonts w:ascii="Arial" w:hAnsi="Arial" w:cs="Arial"/>
          <w:sz w:val="22"/>
          <w:szCs w:val="22"/>
          <w:shd w:val="clear" w:color="auto" w:fill="FFFFFF"/>
        </w:rPr>
      </w:pPr>
    </w:p>
    <w:p w14:paraId="36D9DC01" w14:textId="130C3757" w:rsidR="003A2C21" w:rsidRPr="00CB4DED" w:rsidRDefault="003A2C21" w:rsidP="003A2C21">
      <w:pPr>
        <w:jc w:val="both"/>
        <w:rPr>
          <w:rFonts w:ascii="Arial" w:hAnsi="Arial" w:cs="Arial"/>
          <w:sz w:val="22"/>
          <w:szCs w:val="22"/>
          <w:shd w:val="clear" w:color="auto" w:fill="FFFFFF"/>
        </w:rPr>
      </w:pPr>
      <w:r w:rsidRPr="00CB4DED">
        <w:rPr>
          <w:rFonts w:ascii="Arial" w:hAnsi="Arial" w:cs="Arial"/>
          <w:sz w:val="22"/>
          <w:szCs w:val="22"/>
          <w:shd w:val="clear" w:color="auto" w:fill="FFFFFF"/>
        </w:rPr>
        <w:t xml:space="preserve">En el presente caso, </w:t>
      </w:r>
      <w:r w:rsidR="00ED25F2" w:rsidRPr="00CB4DED">
        <w:rPr>
          <w:rFonts w:ascii="Arial" w:hAnsi="Arial" w:cs="Arial"/>
          <w:sz w:val="22"/>
          <w:szCs w:val="22"/>
          <w:shd w:val="clear" w:color="auto" w:fill="FFFFFF"/>
        </w:rPr>
        <w:t>el</w:t>
      </w:r>
      <w:r w:rsidRPr="00CB4DED">
        <w:rPr>
          <w:rFonts w:ascii="Arial" w:hAnsi="Arial" w:cs="Arial"/>
          <w:sz w:val="22"/>
          <w:szCs w:val="22"/>
          <w:shd w:val="clear" w:color="auto" w:fill="FFFFFF"/>
        </w:rPr>
        <w:t xml:space="preserve"> Informe de Verificación de Hecho mencionados, contiene los elementos necesarios para dotar de convicción al Despacho sobre la persistencia de los hechos que dieron origen a la presente actuación administrativa.</w:t>
      </w:r>
    </w:p>
    <w:p w14:paraId="5ED9E7DB" w14:textId="77777777" w:rsidR="003A2C21" w:rsidRPr="00CB4DED" w:rsidRDefault="003A2C21" w:rsidP="003A2C21">
      <w:pPr>
        <w:jc w:val="both"/>
        <w:rPr>
          <w:rFonts w:ascii="Arial" w:hAnsi="Arial" w:cs="Arial"/>
          <w:sz w:val="22"/>
          <w:szCs w:val="22"/>
          <w:shd w:val="clear" w:color="auto" w:fill="FFFFFF"/>
        </w:rPr>
      </w:pPr>
    </w:p>
    <w:p w14:paraId="54C00C89" w14:textId="77777777" w:rsidR="003A2C21" w:rsidRPr="00CB4DED" w:rsidRDefault="003A2C21" w:rsidP="003A2C21">
      <w:pPr>
        <w:pStyle w:val="Sinespaciado"/>
        <w:jc w:val="both"/>
        <w:rPr>
          <w:rFonts w:ascii="Arial" w:hAnsi="Arial" w:cs="Arial"/>
          <w:lang w:eastAsia="es-CO"/>
        </w:rPr>
      </w:pPr>
      <w:r w:rsidRPr="00CB4DED">
        <w:rPr>
          <w:rFonts w:ascii="Arial" w:hAnsi="Arial" w:cs="Arial"/>
          <w:bdr w:val="none" w:sz="0" w:space="0" w:color="auto" w:frame="1"/>
          <w:lang w:val="es-ES" w:eastAsia="es-CO"/>
        </w:rPr>
        <w:t>Sobre este punto es procedente traer a colación el principio conocido como “onus probandi” y que ha sido recogido en el artículo 167 del Código General del Proceso, y que se basa en que la carga de la prueba de la ocurrencia de estas circunstancias es de quien las alega.</w:t>
      </w:r>
      <w:r w:rsidRPr="00CB4DED">
        <w:rPr>
          <w:rFonts w:ascii="Arial" w:hAnsi="Arial" w:cs="Arial"/>
          <w:bdr w:val="none" w:sz="0" w:space="0" w:color="auto" w:frame="1"/>
          <w:lang w:eastAsia="es-CO"/>
        </w:rPr>
        <w:t> </w:t>
      </w:r>
    </w:p>
    <w:p w14:paraId="66ADCF97" w14:textId="77777777" w:rsidR="003A2C21" w:rsidRPr="00CB4DED" w:rsidRDefault="003A2C21" w:rsidP="003A2C21">
      <w:pPr>
        <w:pStyle w:val="Sinespaciado"/>
        <w:jc w:val="both"/>
        <w:rPr>
          <w:rFonts w:ascii="Arial" w:hAnsi="Arial" w:cs="Arial"/>
          <w:lang w:eastAsia="es-CO"/>
        </w:rPr>
      </w:pPr>
      <w:r w:rsidRPr="00CB4DED">
        <w:rPr>
          <w:rFonts w:ascii="Arial" w:hAnsi="Arial" w:cs="Arial"/>
          <w:bdr w:val="none" w:sz="0" w:space="0" w:color="auto" w:frame="1"/>
          <w:lang w:eastAsia="es-CO"/>
        </w:rPr>
        <w:t> </w:t>
      </w:r>
    </w:p>
    <w:p w14:paraId="3501BC4E" w14:textId="77777777" w:rsidR="003A2C21" w:rsidRPr="00CB4DED" w:rsidRDefault="003A2C21" w:rsidP="003A2C21">
      <w:pPr>
        <w:pStyle w:val="Sinespaciado"/>
        <w:jc w:val="both"/>
        <w:rPr>
          <w:rFonts w:ascii="Arial" w:hAnsi="Arial" w:cs="Arial"/>
          <w:lang w:eastAsia="es-CO"/>
        </w:rPr>
      </w:pPr>
      <w:r w:rsidRPr="00CB4DED">
        <w:rPr>
          <w:rFonts w:ascii="Arial" w:hAnsi="Arial" w:cs="Arial"/>
          <w:bdr w:val="none" w:sz="0" w:space="0" w:color="auto" w:frame="1"/>
          <w:lang w:val="es-ES" w:eastAsia="es-CO"/>
        </w:rPr>
        <w:t xml:space="preserve">En relación con la carga de la prueba, la Corte Constitucional ha señalado </w:t>
      </w:r>
      <w:r w:rsidRPr="00CB4DED">
        <w:rPr>
          <w:rFonts w:ascii="Arial" w:hAnsi="Arial" w:cs="Arial"/>
          <w:i/>
          <w:iCs/>
          <w:bdr w:val="none" w:sz="0" w:space="0" w:color="auto" w:frame="1"/>
          <w:lang w:val="es-ES" w:eastAsia="es-CO"/>
        </w:rPr>
        <w:t>que “Se conoce como principio “onus probandi”,</w:t>
      </w:r>
      <w:r w:rsidRPr="00CB4DED">
        <w:rPr>
          <w:rFonts w:ascii="Arial" w:hAnsi="Arial" w:cs="Arial"/>
          <w:bdr w:val="none" w:sz="0" w:space="0" w:color="auto" w:frame="1"/>
          <w:lang w:val="es-ES" w:eastAsia="es-CO"/>
        </w:rPr>
        <w:t xml:space="preserve"> el cual indica que por regla general corresponde a cada parte acreditar los hechos que invoca, tanto los que sirven de base para la demanda como los que sustentan las excepciones, de tal manera que deben asumir las consecuencias negativas en caso de no hacerlo”</w:t>
      </w:r>
      <w:r w:rsidRPr="00CB4DED">
        <w:rPr>
          <w:rStyle w:val="Refdenotaalpie"/>
          <w:rFonts w:ascii="Arial" w:eastAsiaTheme="majorEastAsia" w:hAnsi="Arial" w:cs="Arial"/>
          <w:bdr w:val="none" w:sz="0" w:space="0" w:color="auto" w:frame="1"/>
          <w:lang w:val="es-ES" w:eastAsia="es-CO"/>
        </w:rPr>
        <w:footnoteReference w:id="5"/>
      </w:r>
      <w:r w:rsidRPr="00CB4DED">
        <w:rPr>
          <w:rFonts w:ascii="Arial" w:hAnsi="Arial" w:cs="Arial"/>
          <w:bdr w:val="none" w:sz="0" w:space="0" w:color="auto" w:frame="1"/>
          <w:lang w:eastAsia="es-CO"/>
        </w:rPr>
        <w:t> </w:t>
      </w:r>
    </w:p>
    <w:p w14:paraId="1EA1DE1F" w14:textId="77777777" w:rsidR="003A2C21" w:rsidRPr="00CB4DED" w:rsidRDefault="003A2C21" w:rsidP="003A2C21">
      <w:pPr>
        <w:pStyle w:val="Sinespaciado"/>
        <w:jc w:val="both"/>
        <w:rPr>
          <w:rFonts w:ascii="Arial" w:hAnsi="Arial" w:cs="Arial"/>
        </w:rPr>
      </w:pPr>
    </w:p>
    <w:p w14:paraId="2AE27BD2" w14:textId="77777777" w:rsidR="00235103" w:rsidRPr="00CB4DED" w:rsidRDefault="003A2C21" w:rsidP="00235103">
      <w:pPr>
        <w:pStyle w:val="Sinespaciado"/>
        <w:jc w:val="both"/>
        <w:rPr>
          <w:rFonts w:ascii="Arial" w:hAnsi="Arial" w:cs="Arial"/>
        </w:rPr>
      </w:pPr>
      <w:r w:rsidRPr="00CB4DED">
        <w:rPr>
          <w:rFonts w:ascii="Arial" w:hAnsi="Arial" w:cs="Arial"/>
        </w:rPr>
        <w:t xml:space="preserve">Visto lo anterior, este Despacho, como se observa en el acto administrativo recurrido, realiza un análisis probatorio integral con el cual establece, que la orden impartida en la Resolución No. </w:t>
      </w:r>
      <w:r w:rsidR="00022ADA" w:rsidRPr="00CB4DED">
        <w:rPr>
          <w:rFonts w:ascii="Arial" w:hAnsi="Arial" w:cs="Arial"/>
        </w:rPr>
        <w:t>2609 del 28 de septiembre de 2016</w:t>
      </w:r>
      <w:r w:rsidRPr="00CB4DED">
        <w:rPr>
          <w:rFonts w:ascii="Arial" w:hAnsi="Arial" w:cs="Arial"/>
        </w:rPr>
        <w:t>, no se ha llevado a cabo por la sociedad enajenadora, quien debió acudir a los diferentes medios de prueba para acreditar las labores de corrección en forma</w:t>
      </w:r>
      <w:r w:rsidRPr="00CB4DED">
        <w:rPr>
          <w:rFonts w:ascii="Arial" w:hAnsi="Arial" w:cs="Arial"/>
          <w:b/>
          <w:bCs/>
          <w:u w:val="single"/>
        </w:rPr>
        <w:t xml:space="preserve"> definitiva</w:t>
      </w:r>
      <w:r w:rsidRPr="00CB4DED">
        <w:rPr>
          <w:rFonts w:ascii="Arial" w:hAnsi="Arial" w:cs="Arial"/>
        </w:rPr>
        <w:t xml:space="preserve"> de los hechos que dieron origen a la multa, desvirtuando los hallazgos contenidos en </w:t>
      </w:r>
      <w:r w:rsidR="00ED25F2" w:rsidRPr="00CB4DED">
        <w:rPr>
          <w:rFonts w:ascii="Arial" w:hAnsi="Arial" w:cs="Arial"/>
        </w:rPr>
        <w:t>el</w:t>
      </w:r>
      <w:r w:rsidRPr="00CB4DED">
        <w:rPr>
          <w:rFonts w:ascii="Arial" w:hAnsi="Arial" w:cs="Arial"/>
        </w:rPr>
        <w:t xml:space="preserve"> Informe de Verificación de Hechos que sirvi</w:t>
      </w:r>
      <w:r w:rsidR="00ED25F2" w:rsidRPr="00CB4DED">
        <w:rPr>
          <w:rFonts w:ascii="Arial" w:hAnsi="Arial" w:cs="Arial"/>
        </w:rPr>
        <w:t>ó</w:t>
      </w:r>
      <w:r w:rsidRPr="00CB4DED">
        <w:rPr>
          <w:rFonts w:ascii="Arial" w:hAnsi="Arial" w:cs="Arial"/>
        </w:rPr>
        <w:t xml:space="preserve"> de sustento a la Resolución No. </w:t>
      </w:r>
      <w:r w:rsidR="00572DA1" w:rsidRPr="00CB4DED">
        <w:rPr>
          <w:rFonts w:ascii="Arial" w:hAnsi="Arial" w:cs="Arial"/>
        </w:rPr>
        <w:t>30 del 23 de enero de 2025</w:t>
      </w:r>
      <w:r w:rsidRPr="00CB4DED">
        <w:rPr>
          <w:rFonts w:ascii="Arial" w:hAnsi="Arial" w:cs="Arial"/>
        </w:rPr>
        <w:t xml:space="preserve">, como claramente se ordenó en la mencionada Resolución No. </w:t>
      </w:r>
      <w:r w:rsidR="00022ADA" w:rsidRPr="00CB4DED">
        <w:rPr>
          <w:rFonts w:ascii="Arial" w:hAnsi="Arial" w:cs="Arial"/>
        </w:rPr>
        <w:t>2609 del 28 de septiembre de 2016</w:t>
      </w:r>
      <w:r w:rsidR="00235103" w:rsidRPr="00CB4DED">
        <w:rPr>
          <w:rFonts w:ascii="Arial" w:hAnsi="Arial" w:cs="Arial"/>
        </w:rPr>
        <w:t>.</w:t>
      </w:r>
    </w:p>
    <w:p w14:paraId="2F0299D3" w14:textId="77777777" w:rsidR="00235103" w:rsidRPr="00CB4DED" w:rsidRDefault="00235103" w:rsidP="00235103">
      <w:pPr>
        <w:pStyle w:val="Sinespaciado"/>
        <w:jc w:val="both"/>
        <w:rPr>
          <w:rFonts w:ascii="Arial" w:hAnsi="Arial" w:cs="Arial"/>
        </w:rPr>
      </w:pPr>
    </w:p>
    <w:p w14:paraId="2274BA38" w14:textId="4DB4E002" w:rsidR="00235103" w:rsidRPr="00CB4DED" w:rsidRDefault="003A2C21" w:rsidP="00235103">
      <w:pPr>
        <w:pStyle w:val="Sinespaciado"/>
        <w:jc w:val="both"/>
        <w:rPr>
          <w:rFonts w:ascii="Arial" w:hAnsi="Arial" w:cs="Arial"/>
          <w:i/>
          <w:iCs/>
          <w:shd w:val="clear" w:color="auto" w:fill="FFFFFF"/>
        </w:rPr>
      </w:pPr>
      <w:r w:rsidRPr="00CB4DED">
        <w:rPr>
          <w:rFonts w:ascii="Arial" w:hAnsi="Arial" w:cs="Arial"/>
          <w:iCs/>
          <w:lang w:val="es-ES"/>
        </w:rPr>
        <w:t xml:space="preserve">En este sentido y en el marco de los principios aludidos por el recurrente se puede establecer que este Despacho no omitió la valoración de ninguna de las pruebas aportadas al expediente, la valoración se realizó en forma integral y desde el punto de vista técnico, referido al conocimiento especifico del asunto, y jurídico, en el cerco dispuesto por la Resolución No. </w:t>
      </w:r>
      <w:r w:rsidR="00022ADA" w:rsidRPr="00CB4DED">
        <w:rPr>
          <w:rFonts w:ascii="Arial" w:hAnsi="Arial" w:cs="Arial"/>
          <w:spacing w:val="-3"/>
          <w:lang w:val="es-ES"/>
        </w:rPr>
        <w:t>2609 del 28 de septiembre de 2016</w:t>
      </w:r>
      <w:r w:rsidRPr="00CB4DED">
        <w:rPr>
          <w:rFonts w:ascii="Arial" w:hAnsi="Arial" w:cs="Arial"/>
          <w:iCs/>
          <w:lang w:val="es-ES"/>
        </w:rPr>
        <w:t xml:space="preserve">, efectuando  un análisis racional y lógico de las mismas; </w:t>
      </w:r>
      <w:r w:rsidRPr="00CB4DED">
        <w:rPr>
          <w:rFonts w:ascii="Arial" w:hAnsi="Arial" w:cs="Arial"/>
          <w:spacing w:val="-3"/>
        </w:rPr>
        <w:t xml:space="preserve">ultimando  en este acápite que conforme a lo anotado es claro que, la sociedad enajenadora a la fecha de la presente Resolución no ha subsanado de manera </w:t>
      </w:r>
      <w:r w:rsidRPr="00CB4DED">
        <w:rPr>
          <w:rFonts w:ascii="Arial" w:hAnsi="Arial" w:cs="Arial"/>
          <w:b/>
          <w:bCs/>
          <w:spacing w:val="-3"/>
        </w:rPr>
        <w:t>eficiente, efectiva y definitiva</w:t>
      </w:r>
      <w:r w:rsidRPr="00CB4DED">
        <w:rPr>
          <w:rFonts w:ascii="Arial" w:hAnsi="Arial" w:cs="Arial"/>
          <w:spacing w:val="-3"/>
        </w:rPr>
        <w:t xml:space="preserve"> </w:t>
      </w:r>
      <w:r w:rsidR="000F1EAB" w:rsidRPr="00CB4DED">
        <w:rPr>
          <w:rFonts w:ascii="Arial" w:hAnsi="Arial" w:cs="Arial"/>
          <w:spacing w:val="-3"/>
        </w:rPr>
        <w:t xml:space="preserve">el </w:t>
      </w:r>
      <w:r w:rsidRPr="00CB4DED">
        <w:rPr>
          <w:rFonts w:ascii="Arial" w:hAnsi="Arial" w:cs="Arial"/>
          <w:spacing w:val="-3"/>
        </w:rPr>
        <w:t xml:space="preserve">hecho correspondiente a </w:t>
      </w:r>
      <w:r w:rsidRPr="00CB4DED">
        <w:rPr>
          <w:rFonts w:ascii="Arial" w:hAnsi="Arial" w:cs="Arial"/>
          <w:i/>
          <w:iCs/>
          <w:spacing w:val="-3"/>
        </w:rPr>
        <w:t>“</w:t>
      </w:r>
      <w:r w:rsidR="00235103" w:rsidRPr="00CB4DED">
        <w:rPr>
          <w:rFonts w:ascii="Arial" w:hAnsi="Arial" w:cs="Arial"/>
          <w:b/>
          <w:bCs/>
          <w:i/>
          <w:iCs/>
          <w:lang w:val="es-ES_tradnl"/>
        </w:rPr>
        <w:t>2-A. (...) NO EXISTE LA INSTALACIÓN DE BARANDA, O MEDIO QUE GARANTICE LA SEGURIDAD DE LAS PERSONAS QUE UTILIZAN EL ÁREA Y/O REALIZAN MANTENIMIENTO A ESTA ZONA. "Β. ΜΑΝTO: EN LA VISITA EFECTUADA, SE OBSERVA QUE EL MANTO INSTALADO EN LA CUBIERTA, PRESENTA DETERIORO PREMATURO."</w:t>
      </w:r>
      <w:r w:rsidR="00235103" w:rsidRPr="00CB4DED">
        <w:rPr>
          <w:rFonts w:ascii="Arial" w:hAnsi="Arial" w:cs="Arial"/>
          <w:i/>
          <w:iCs/>
          <w:lang w:val="es-ES_tradnl"/>
        </w:rPr>
        <w:t xml:space="preserve"> </w:t>
      </w:r>
      <w:r w:rsidR="00235103" w:rsidRPr="00CB4DED">
        <w:rPr>
          <w:rFonts w:ascii="Arial" w:hAnsi="Arial" w:cs="Arial"/>
          <w:b/>
          <w:bCs/>
          <w:i/>
          <w:iCs/>
          <w:shd w:val="clear" w:color="auto" w:fill="FFFFFF"/>
        </w:rPr>
        <w:t>"10-ACCESO A DISCAPACITADOS." "13-CUARTO DE BASURAS."</w:t>
      </w:r>
      <w:r w:rsidR="00235103" w:rsidRPr="00CB4DED">
        <w:rPr>
          <w:rFonts w:ascii="Arial" w:hAnsi="Arial" w:cs="Arial"/>
          <w:i/>
          <w:iCs/>
          <w:shd w:val="clear" w:color="auto" w:fill="FFFFFF"/>
        </w:rPr>
        <w:t xml:space="preserve"> </w:t>
      </w:r>
    </w:p>
    <w:p w14:paraId="1AF80B96" w14:textId="77777777" w:rsidR="00775047" w:rsidRPr="00CB4DED" w:rsidRDefault="00775047" w:rsidP="00235103">
      <w:pPr>
        <w:pStyle w:val="Sinespaciado"/>
        <w:jc w:val="both"/>
        <w:rPr>
          <w:rFonts w:ascii="Arial" w:hAnsi="Arial" w:cs="Arial"/>
          <w:i/>
          <w:iCs/>
          <w:shd w:val="clear" w:color="auto" w:fill="FFFFFF"/>
        </w:rPr>
      </w:pPr>
    </w:p>
    <w:p w14:paraId="41737384" w14:textId="13964F0F" w:rsidR="00866529" w:rsidRPr="00CB4DED" w:rsidRDefault="00775047" w:rsidP="00235103">
      <w:pPr>
        <w:pStyle w:val="Sinespaciado"/>
        <w:jc w:val="both"/>
        <w:rPr>
          <w:rFonts w:ascii="Arial" w:hAnsi="Arial" w:cs="Arial"/>
          <w:iCs/>
          <w:lang w:val="es-ES"/>
        </w:rPr>
      </w:pPr>
      <w:r w:rsidRPr="00CB4DED">
        <w:rPr>
          <w:rFonts w:ascii="Arial" w:hAnsi="Arial" w:cs="Arial"/>
          <w:iCs/>
          <w:lang w:val="es-ES"/>
        </w:rPr>
        <w:t>A su vez, es importante mencionar qu</w:t>
      </w:r>
      <w:r w:rsidR="00866529" w:rsidRPr="00CB4DED">
        <w:rPr>
          <w:rFonts w:ascii="Arial" w:hAnsi="Arial" w:cs="Arial"/>
          <w:iCs/>
          <w:lang w:val="es-ES"/>
        </w:rPr>
        <w:t>e,</w:t>
      </w:r>
      <w:r w:rsidRPr="00CB4DED">
        <w:rPr>
          <w:rFonts w:ascii="Arial" w:hAnsi="Arial" w:cs="Arial"/>
          <w:iCs/>
          <w:lang w:val="es-ES"/>
        </w:rPr>
        <w:t xml:space="preserve"> desde el inicio de la presente investigación</w:t>
      </w:r>
      <w:r w:rsidR="00866529" w:rsidRPr="00CB4DED">
        <w:rPr>
          <w:rFonts w:ascii="Arial" w:hAnsi="Arial" w:cs="Arial"/>
          <w:iCs/>
          <w:lang w:val="es-ES"/>
        </w:rPr>
        <w:t xml:space="preserve">, la acá sancionada es conocedor de todos y cada uno de los hechos por los cuales se le ha investigado y por los cuales se le sanciono, dejando claro que no existe hechos nuevos o desconocido que con ellos se esté vulnerado algún derecho. </w:t>
      </w:r>
    </w:p>
    <w:p w14:paraId="3AC881CC" w14:textId="77777777" w:rsidR="00866529" w:rsidRPr="00CB4DED" w:rsidRDefault="00866529" w:rsidP="00235103">
      <w:pPr>
        <w:pStyle w:val="Sinespaciado"/>
        <w:jc w:val="both"/>
        <w:rPr>
          <w:rFonts w:ascii="Arial" w:hAnsi="Arial" w:cs="Arial"/>
          <w:iCs/>
          <w:lang w:val="es-ES"/>
        </w:rPr>
      </w:pPr>
    </w:p>
    <w:p w14:paraId="63B549D9" w14:textId="02BA431F" w:rsidR="0049599C" w:rsidRPr="00CB4DED" w:rsidRDefault="00061C29" w:rsidP="00061C29">
      <w:pPr>
        <w:pStyle w:val="Prrafodelista"/>
        <w:numPr>
          <w:ilvl w:val="0"/>
          <w:numId w:val="36"/>
        </w:numPr>
        <w:jc w:val="both"/>
        <w:rPr>
          <w:rFonts w:ascii="Arial" w:hAnsi="Arial" w:cs="Arial"/>
          <w:b/>
          <w:bCs/>
          <w:sz w:val="22"/>
          <w:szCs w:val="22"/>
          <w:u w:val="single"/>
        </w:rPr>
      </w:pPr>
      <w:r w:rsidRPr="00CB4DED">
        <w:rPr>
          <w:rFonts w:ascii="Arial" w:hAnsi="Arial" w:cs="Arial"/>
          <w:b/>
          <w:bCs/>
          <w:sz w:val="22"/>
          <w:szCs w:val="22"/>
          <w:u w:val="single"/>
        </w:rPr>
        <w:t>DEL ARGUMENTO DE HABER OPERADO LA FIGURA DE LA CADUCIDAD DE LA FACULTAD SANCIONATORIA.</w:t>
      </w:r>
    </w:p>
    <w:p w14:paraId="7A9397DD" w14:textId="3A7633FD" w:rsidR="00061C29" w:rsidRPr="00CB4DED" w:rsidRDefault="00061C29" w:rsidP="00061C29">
      <w:pPr>
        <w:jc w:val="both"/>
        <w:rPr>
          <w:rFonts w:ascii="Arial" w:eastAsiaTheme="minorHAnsi" w:hAnsi="Arial" w:cs="Arial"/>
          <w:kern w:val="2"/>
          <w:sz w:val="22"/>
          <w:szCs w:val="22"/>
          <w:lang w:val="es-CO" w:eastAsia="en-US"/>
          <w14:ligatures w14:val="standardContextual"/>
        </w:rPr>
      </w:pPr>
      <w:r w:rsidRPr="00CB4DED">
        <w:rPr>
          <w:rFonts w:ascii="Arial" w:eastAsiaTheme="minorHAnsi" w:hAnsi="Arial" w:cs="Arial"/>
          <w:kern w:val="2"/>
          <w:sz w:val="22"/>
          <w:szCs w:val="22"/>
          <w:lang w:val="es-CO" w:eastAsia="en-US"/>
          <w14:ligatures w14:val="standardContextual"/>
        </w:rPr>
        <w:t xml:space="preserve">En escrito de descargos se intuye que el apoderado de la sociedad enajenadora arguye caducidad de la acción sancionatoria, </w:t>
      </w:r>
      <w:r w:rsidR="005540AB" w:rsidRPr="00CB4DED">
        <w:rPr>
          <w:rFonts w:ascii="Arial" w:eastAsiaTheme="minorHAnsi" w:hAnsi="Arial" w:cs="Arial"/>
          <w:kern w:val="2"/>
          <w:sz w:val="22"/>
          <w:szCs w:val="22"/>
          <w:lang w:val="es-CO" w:eastAsia="en-US"/>
          <w14:ligatures w14:val="standardContextual"/>
        </w:rPr>
        <w:t>de acuerdo con el</w:t>
      </w:r>
      <w:r w:rsidRPr="00CB4DED">
        <w:rPr>
          <w:rFonts w:ascii="Arial" w:eastAsiaTheme="minorHAnsi" w:hAnsi="Arial" w:cs="Arial"/>
          <w:kern w:val="2"/>
          <w:sz w:val="22"/>
          <w:szCs w:val="22"/>
          <w:lang w:val="es-CO" w:eastAsia="en-US"/>
          <w14:ligatures w14:val="standardContextual"/>
        </w:rPr>
        <w:t xml:space="preserve"> contenido del artículo 52 de la Ley 1437 de 2011, que expresa:</w:t>
      </w:r>
    </w:p>
    <w:p w14:paraId="0B35F944" w14:textId="77777777" w:rsidR="00061C29" w:rsidRPr="00CB4DED" w:rsidRDefault="00061C29" w:rsidP="00061C29">
      <w:pPr>
        <w:jc w:val="both"/>
        <w:rPr>
          <w:rFonts w:ascii="Arial" w:eastAsiaTheme="minorHAnsi" w:hAnsi="Arial" w:cs="Arial"/>
          <w:kern w:val="2"/>
          <w:sz w:val="22"/>
          <w:szCs w:val="22"/>
          <w:lang w:val="es-CO" w:eastAsia="en-US"/>
          <w14:ligatures w14:val="standardContextual"/>
        </w:rPr>
      </w:pPr>
    </w:p>
    <w:p w14:paraId="6F238F2A" w14:textId="0CA1861D" w:rsidR="00775047" w:rsidRPr="00CB4DED" w:rsidRDefault="00775047" w:rsidP="00775047">
      <w:pPr>
        <w:ind w:left="708"/>
        <w:jc w:val="both"/>
        <w:rPr>
          <w:rFonts w:ascii="Arial" w:eastAsia="Calibri" w:hAnsi="Arial" w:cs="Arial"/>
          <w:bCs/>
          <w:i/>
          <w:iCs/>
          <w:sz w:val="22"/>
          <w:szCs w:val="22"/>
          <w:lang w:val="es-CO" w:eastAsia="en-US"/>
        </w:rPr>
      </w:pPr>
      <w:r w:rsidRPr="00CB4DED">
        <w:rPr>
          <w:rFonts w:ascii="Arial" w:eastAsia="Calibri" w:hAnsi="Arial" w:cs="Arial"/>
          <w:b/>
          <w:bCs/>
          <w:i/>
          <w:iCs/>
          <w:sz w:val="22"/>
          <w:szCs w:val="22"/>
          <w:lang w:val="es-CO" w:eastAsia="en-US"/>
        </w:rPr>
        <w:t xml:space="preserve">“Artículo 52. Caducidad de la facultad sancionatoria. </w:t>
      </w:r>
      <w:r w:rsidRPr="00CB4DED">
        <w:rPr>
          <w:rFonts w:ascii="Arial" w:eastAsia="Calibri" w:hAnsi="Arial" w:cs="Arial"/>
          <w:bCs/>
          <w:i/>
          <w:iCs/>
          <w:sz w:val="22"/>
          <w:szCs w:val="22"/>
          <w:lang w:val="es-CO" w:eastAsia="en-US"/>
        </w:rPr>
        <w:t xml:space="preserve">Salvo lo dispuesto en leyes especiales, </w:t>
      </w:r>
      <w:bookmarkStart w:id="4" w:name="_Hlk198803867"/>
      <w:r w:rsidRPr="00CB4DED">
        <w:rPr>
          <w:rFonts w:ascii="Arial" w:eastAsia="Calibri" w:hAnsi="Arial" w:cs="Arial"/>
          <w:bCs/>
          <w:i/>
          <w:iCs/>
          <w:sz w:val="22"/>
          <w:szCs w:val="22"/>
          <w:lang w:val="es-CO" w:eastAsia="en-US"/>
        </w:rPr>
        <w:t xml:space="preserve">la facultad que tienen las autoridades para imponer sanciones caduca a los tres (3) años de ocurrido el hecho, </w:t>
      </w:r>
      <w:bookmarkEnd w:id="4"/>
      <w:r w:rsidRPr="00CB4DED">
        <w:rPr>
          <w:rFonts w:ascii="Arial" w:eastAsia="Calibri" w:hAnsi="Arial" w:cs="Arial"/>
          <w:bCs/>
          <w:i/>
          <w:iCs/>
          <w:sz w:val="22"/>
          <w:szCs w:val="22"/>
          <w:lang w:val="es-CO" w:eastAsia="en-US"/>
        </w:rPr>
        <w:t>la conducta u omisión que pudiere ocasionarlas, término dentro del cual el acto administrativo que impone la sanción debe haber sido expedido y notificado…” (…)</w:t>
      </w:r>
    </w:p>
    <w:p w14:paraId="4238280F" w14:textId="77777777" w:rsidR="00775047" w:rsidRPr="00CB4DED" w:rsidRDefault="00775047" w:rsidP="00775047">
      <w:pPr>
        <w:ind w:left="708"/>
        <w:jc w:val="both"/>
        <w:rPr>
          <w:rFonts w:ascii="Arial" w:eastAsia="Calibri" w:hAnsi="Arial" w:cs="Arial"/>
          <w:b/>
          <w:bCs/>
          <w:i/>
          <w:iCs/>
          <w:sz w:val="22"/>
          <w:szCs w:val="22"/>
          <w:lang w:val="es-CO" w:eastAsia="en-US"/>
        </w:rPr>
      </w:pPr>
      <w:r w:rsidRPr="00CB4DED">
        <w:rPr>
          <w:rFonts w:ascii="Arial" w:eastAsia="Calibri" w:hAnsi="Arial" w:cs="Arial"/>
          <w:bCs/>
          <w:i/>
          <w:iCs/>
          <w:sz w:val="22"/>
          <w:szCs w:val="22"/>
          <w:lang w:val="es-CO" w:eastAsia="en-US"/>
        </w:rPr>
        <w:br/>
      </w:r>
      <w:r w:rsidRPr="00CB4DED">
        <w:rPr>
          <w:rFonts w:ascii="Arial" w:eastAsia="Calibri" w:hAnsi="Arial" w:cs="Arial"/>
          <w:b/>
          <w:bCs/>
          <w:i/>
          <w:iCs/>
          <w:sz w:val="22"/>
          <w:szCs w:val="22"/>
          <w:u w:val="single"/>
          <w:lang w:val="es-CO" w:eastAsia="en-US"/>
        </w:rPr>
        <w:t>La sanción decretada por acto administrativo prescribirá al cabo de cinco (5) años contados a partir de la fecha de la ejecutoriael.</w:t>
      </w:r>
      <w:r w:rsidRPr="00CB4DED">
        <w:rPr>
          <w:rFonts w:ascii="Arial" w:eastAsia="Calibri" w:hAnsi="Arial" w:cs="Arial"/>
          <w:b/>
          <w:bCs/>
          <w:i/>
          <w:iCs/>
          <w:sz w:val="22"/>
          <w:szCs w:val="22"/>
          <w:lang w:val="es-CO" w:eastAsia="en-US"/>
        </w:rPr>
        <w:t xml:space="preserve"> (Subrayo y negrilla fuera de texto)</w:t>
      </w:r>
    </w:p>
    <w:p w14:paraId="7F658D34" w14:textId="77777777" w:rsidR="00775047" w:rsidRPr="00CB4DED" w:rsidRDefault="00775047" w:rsidP="00775047">
      <w:pPr>
        <w:ind w:left="708"/>
        <w:jc w:val="both"/>
        <w:rPr>
          <w:rFonts w:ascii="Arial" w:eastAsia="Calibri" w:hAnsi="Arial" w:cs="Arial"/>
          <w:bCs/>
          <w:i/>
          <w:iCs/>
          <w:sz w:val="22"/>
          <w:szCs w:val="22"/>
          <w:lang w:val="es-CO" w:eastAsia="en-US"/>
        </w:rPr>
      </w:pPr>
    </w:p>
    <w:p w14:paraId="05019DE3" w14:textId="2EDDB1EF" w:rsidR="00775047" w:rsidRPr="00CB4DED" w:rsidRDefault="00775047" w:rsidP="00775047">
      <w:pPr>
        <w:tabs>
          <w:tab w:val="left" w:pos="3716"/>
        </w:tabs>
        <w:jc w:val="both"/>
        <w:rPr>
          <w:rFonts w:ascii="Arial" w:hAnsi="Arial" w:cs="Arial"/>
          <w:color w:val="000000" w:themeColor="text1"/>
          <w:sz w:val="22"/>
          <w:szCs w:val="22"/>
        </w:rPr>
      </w:pPr>
      <w:r w:rsidRPr="00CB4DED">
        <w:rPr>
          <w:rFonts w:ascii="Arial" w:hAnsi="Arial" w:cs="Arial"/>
          <w:sz w:val="22"/>
          <w:szCs w:val="22"/>
        </w:rPr>
        <w:t xml:space="preserve">Al respecto, entra este Despacho a analizar los argumentos mencionados por el recurrente, si le asiste razón o no, en lo referente a si operó el fenómeno jurídico de la prescripción, dado que, según él, han pasado más de </w:t>
      </w:r>
      <w:r w:rsidR="00D44343" w:rsidRPr="00CB4DED">
        <w:rPr>
          <w:rFonts w:ascii="Arial" w:hAnsi="Arial" w:cs="Arial"/>
          <w:sz w:val="22"/>
          <w:szCs w:val="22"/>
        </w:rPr>
        <w:t xml:space="preserve">tres </w:t>
      </w:r>
      <w:r w:rsidRPr="00CB4DED">
        <w:rPr>
          <w:rFonts w:ascii="Arial" w:hAnsi="Arial" w:cs="Arial"/>
          <w:sz w:val="22"/>
          <w:szCs w:val="22"/>
        </w:rPr>
        <w:t>(</w:t>
      </w:r>
      <w:r w:rsidR="00D44343" w:rsidRPr="00CB4DED">
        <w:rPr>
          <w:rFonts w:ascii="Arial" w:hAnsi="Arial" w:cs="Arial"/>
          <w:sz w:val="22"/>
          <w:szCs w:val="22"/>
        </w:rPr>
        <w:t>3</w:t>
      </w:r>
      <w:r w:rsidRPr="00CB4DED">
        <w:rPr>
          <w:rFonts w:ascii="Arial" w:hAnsi="Arial" w:cs="Arial"/>
          <w:sz w:val="22"/>
          <w:szCs w:val="22"/>
        </w:rPr>
        <w:t>) años</w:t>
      </w:r>
      <w:r w:rsidR="00D44343" w:rsidRPr="00CB4DED">
        <w:rPr>
          <w:rFonts w:ascii="Arial" w:hAnsi="Arial" w:cs="Arial"/>
          <w:sz w:val="22"/>
          <w:szCs w:val="22"/>
        </w:rPr>
        <w:t>, desde la entrega del 50% de la copropiedad que ocurrió el 01 de marzo de 2013 y la decisión se profirió el 28 de septiembre de 2016 cuando ya ocurrió la caducidad</w:t>
      </w:r>
      <w:r w:rsidRPr="00CB4DED">
        <w:rPr>
          <w:rFonts w:ascii="Arial" w:hAnsi="Arial" w:cs="Arial"/>
          <w:color w:val="000000" w:themeColor="text1"/>
          <w:sz w:val="22"/>
          <w:szCs w:val="22"/>
        </w:rPr>
        <w:t>.</w:t>
      </w:r>
    </w:p>
    <w:p w14:paraId="2A12BE05" w14:textId="77777777" w:rsidR="00775047" w:rsidRPr="00CB4DED" w:rsidRDefault="00775047" w:rsidP="00775047">
      <w:pPr>
        <w:tabs>
          <w:tab w:val="left" w:pos="3716"/>
        </w:tabs>
        <w:jc w:val="both"/>
        <w:rPr>
          <w:rFonts w:ascii="Arial" w:hAnsi="Arial" w:cs="Arial"/>
          <w:color w:val="000000" w:themeColor="text1"/>
          <w:sz w:val="22"/>
          <w:szCs w:val="22"/>
        </w:rPr>
      </w:pPr>
    </w:p>
    <w:p w14:paraId="08C35762" w14:textId="77777777" w:rsidR="00D17F91" w:rsidRPr="00CB4DED" w:rsidRDefault="00775047" w:rsidP="00775047">
      <w:pPr>
        <w:contextualSpacing/>
        <w:jc w:val="both"/>
        <w:rPr>
          <w:rFonts w:ascii="Arial" w:hAnsi="Arial" w:cs="Arial"/>
          <w:bCs/>
          <w:color w:val="000000" w:themeColor="text1"/>
          <w:sz w:val="22"/>
          <w:szCs w:val="22"/>
          <w:lang w:val="es-CO"/>
        </w:rPr>
      </w:pPr>
      <w:r w:rsidRPr="00CB4DED">
        <w:rPr>
          <w:rFonts w:ascii="Arial" w:hAnsi="Arial" w:cs="Arial"/>
          <w:bCs/>
          <w:color w:val="000000" w:themeColor="text1"/>
          <w:sz w:val="22"/>
          <w:szCs w:val="22"/>
          <w:lang w:val="es-CO"/>
        </w:rPr>
        <w:t xml:space="preserve">Al respecto debe tenerse en cuenta que, </w:t>
      </w:r>
      <w:r w:rsidR="00D44343" w:rsidRPr="00CB4DED">
        <w:rPr>
          <w:rFonts w:ascii="Arial" w:hAnsi="Arial" w:cs="Arial"/>
          <w:bCs/>
          <w:color w:val="000000" w:themeColor="text1"/>
          <w:sz w:val="22"/>
          <w:szCs w:val="22"/>
          <w:lang w:val="es-CO"/>
        </w:rPr>
        <w:t xml:space="preserve">de acuerdo con el artículo 52 la facultad que tiene la entidad caduca a los tres (3) contados de la ocurrencia de los hechos, nótese que la ocurrencia del hechos corresponde a la fecha de la queja presentada a la entidad, que corresponde al día 11 de noviembre de 2013 mediante radicado No.1-2013-66283 y en donde la entidad es conocedora de la deficiencias constructivas que dieron origen a la presente proceso sancionatorio, ahora bien, como señala el articulo 52 de la norma ibidem, la entidad </w:t>
      </w:r>
      <w:r w:rsidR="00D17F91" w:rsidRPr="00CB4DED">
        <w:rPr>
          <w:rFonts w:ascii="Arial" w:hAnsi="Arial" w:cs="Arial"/>
          <w:bCs/>
          <w:color w:val="000000" w:themeColor="text1"/>
          <w:sz w:val="22"/>
          <w:szCs w:val="22"/>
          <w:lang w:val="es-CO"/>
        </w:rPr>
        <w:t>tenía</w:t>
      </w:r>
      <w:r w:rsidR="00D44343" w:rsidRPr="00CB4DED">
        <w:rPr>
          <w:rFonts w:ascii="Arial" w:hAnsi="Arial" w:cs="Arial"/>
          <w:bCs/>
          <w:color w:val="000000" w:themeColor="text1"/>
          <w:sz w:val="22"/>
          <w:szCs w:val="22"/>
          <w:lang w:val="es-CO"/>
        </w:rPr>
        <w:t xml:space="preserve"> </w:t>
      </w:r>
      <w:r w:rsidR="00D17F91" w:rsidRPr="00CB4DED">
        <w:rPr>
          <w:rFonts w:ascii="Arial" w:hAnsi="Arial" w:cs="Arial"/>
          <w:bCs/>
          <w:color w:val="000000" w:themeColor="text1"/>
          <w:sz w:val="22"/>
          <w:szCs w:val="22"/>
          <w:lang w:val="es-CO"/>
        </w:rPr>
        <w:t xml:space="preserve">termino de </w:t>
      </w:r>
      <w:r w:rsidR="00D44343" w:rsidRPr="00CB4DED">
        <w:rPr>
          <w:rFonts w:ascii="Arial" w:hAnsi="Arial" w:cs="Arial"/>
          <w:bCs/>
          <w:color w:val="000000" w:themeColor="text1"/>
          <w:sz w:val="22"/>
          <w:szCs w:val="22"/>
          <w:lang w:val="es-CO"/>
        </w:rPr>
        <w:t>tres años a partir de</w:t>
      </w:r>
      <w:r w:rsidR="00D17F91" w:rsidRPr="00CB4DED">
        <w:rPr>
          <w:rFonts w:ascii="Arial" w:hAnsi="Arial" w:cs="Arial"/>
          <w:bCs/>
          <w:color w:val="000000" w:themeColor="text1"/>
          <w:sz w:val="22"/>
          <w:szCs w:val="22"/>
          <w:lang w:val="es-CO"/>
        </w:rPr>
        <w:t xml:space="preserve"> la presentación de la queja para imponer la sanción por deficiencias constructivas.</w:t>
      </w:r>
    </w:p>
    <w:p w14:paraId="043B4EDE" w14:textId="77777777" w:rsidR="00D17F91" w:rsidRPr="00CB4DED" w:rsidRDefault="00D17F91" w:rsidP="00775047">
      <w:pPr>
        <w:contextualSpacing/>
        <w:jc w:val="both"/>
        <w:rPr>
          <w:rFonts w:ascii="Arial" w:hAnsi="Arial" w:cs="Arial"/>
          <w:bCs/>
          <w:color w:val="000000" w:themeColor="text1"/>
          <w:sz w:val="22"/>
          <w:szCs w:val="22"/>
          <w:lang w:val="es-CO"/>
        </w:rPr>
      </w:pPr>
    </w:p>
    <w:p w14:paraId="65E1DB48" w14:textId="77777777" w:rsidR="00D17F91" w:rsidRPr="00CB4DED" w:rsidRDefault="00D17F91" w:rsidP="00775047">
      <w:pPr>
        <w:contextualSpacing/>
        <w:jc w:val="both"/>
        <w:rPr>
          <w:rFonts w:ascii="Arial" w:hAnsi="Arial" w:cs="Arial"/>
          <w:color w:val="000000"/>
          <w:sz w:val="22"/>
          <w:szCs w:val="22"/>
        </w:rPr>
      </w:pPr>
      <w:r w:rsidRPr="00CB4DED">
        <w:rPr>
          <w:rFonts w:ascii="Arial" w:hAnsi="Arial" w:cs="Arial"/>
          <w:bCs/>
          <w:color w:val="000000" w:themeColor="text1"/>
          <w:sz w:val="22"/>
          <w:szCs w:val="22"/>
          <w:lang w:val="es-CO"/>
        </w:rPr>
        <w:t xml:space="preserve">Continuando con esta narrativa, se evidencia que la </w:t>
      </w:r>
      <w:r w:rsidRPr="00CB4DED">
        <w:rPr>
          <w:rFonts w:ascii="Arial" w:hAnsi="Arial" w:cs="Arial"/>
          <w:color w:val="000000"/>
          <w:sz w:val="22"/>
          <w:szCs w:val="22"/>
        </w:rPr>
        <w:t xml:space="preserve">Resolución No.2609 del 28 de septiembre de </w:t>
      </w:r>
      <w:r w:rsidRPr="00CB4DED">
        <w:rPr>
          <w:rFonts w:ascii="Arial" w:hAnsi="Arial" w:cs="Arial"/>
          <w:i/>
          <w:iCs/>
          <w:color w:val="000000"/>
          <w:sz w:val="22"/>
          <w:szCs w:val="22"/>
        </w:rPr>
        <w:t>2016 "por la cual se impone una sanción y se imparte una orden"</w:t>
      </w:r>
      <w:r w:rsidRPr="00CB4DED">
        <w:rPr>
          <w:rFonts w:ascii="Arial" w:hAnsi="Arial" w:cs="Arial"/>
          <w:color w:val="000000"/>
          <w:sz w:val="22"/>
          <w:szCs w:val="22"/>
        </w:rPr>
        <w:t>, fue notificada el día 24 octubre de 2016 de manera personal, a la señora MARICELA LOAIZA ESPITIA en calidad de autorizada de la sociedad enajenadora INTERPANEL S.A.S., cumpliendo con lo estipulado en el artículo 52 antes citado, que señala la obligación de expedir el acto y notificarlo dentro de los tres (3) años siguientes a la ocurrencia del los hechos los cuales se vencerían el día 10 de noviembre de 2016.</w:t>
      </w:r>
    </w:p>
    <w:p w14:paraId="1946B80F" w14:textId="77777777" w:rsidR="00D17F91" w:rsidRPr="00CB4DED" w:rsidRDefault="00D17F91" w:rsidP="00775047">
      <w:pPr>
        <w:contextualSpacing/>
        <w:jc w:val="both"/>
        <w:rPr>
          <w:rFonts w:ascii="Arial" w:hAnsi="Arial" w:cs="Arial"/>
          <w:color w:val="000000"/>
          <w:sz w:val="22"/>
          <w:szCs w:val="22"/>
        </w:rPr>
      </w:pPr>
    </w:p>
    <w:p w14:paraId="0187CB0E" w14:textId="2ACFF54F" w:rsidR="00D17F91" w:rsidRPr="00CB4DED" w:rsidRDefault="00D17F91" w:rsidP="00775047">
      <w:pPr>
        <w:contextualSpacing/>
        <w:jc w:val="both"/>
        <w:rPr>
          <w:rFonts w:ascii="Arial" w:hAnsi="Arial" w:cs="Arial"/>
          <w:color w:val="000000"/>
          <w:sz w:val="22"/>
          <w:szCs w:val="22"/>
        </w:rPr>
      </w:pPr>
      <w:r w:rsidRPr="00CB4DED">
        <w:rPr>
          <w:rFonts w:ascii="Arial" w:hAnsi="Arial" w:cs="Arial"/>
          <w:color w:val="000000"/>
          <w:sz w:val="22"/>
          <w:szCs w:val="22"/>
        </w:rPr>
        <w:t>De lo anterior es claro para este Despacho, que los argumentos esgrimidos por el acá recurrente no están llamados a prosperar, de acuerdo antes mencionado.</w:t>
      </w:r>
    </w:p>
    <w:p w14:paraId="09313D0B" w14:textId="77777777" w:rsidR="00D17F91" w:rsidRPr="00CB4DED" w:rsidRDefault="00D17F91" w:rsidP="00775047">
      <w:pPr>
        <w:contextualSpacing/>
        <w:jc w:val="both"/>
        <w:rPr>
          <w:rFonts w:ascii="Arial" w:hAnsi="Arial" w:cs="Arial"/>
          <w:color w:val="000000"/>
          <w:sz w:val="22"/>
          <w:szCs w:val="22"/>
        </w:rPr>
      </w:pPr>
    </w:p>
    <w:p w14:paraId="4F8CE52A" w14:textId="77777777" w:rsidR="00D44343" w:rsidRPr="00CB4DED" w:rsidRDefault="00D44343" w:rsidP="00775047">
      <w:pPr>
        <w:contextualSpacing/>
        <w:jc w:val="both"/>
        <w:rPr>
          <w:rFonts w:ascii="Arial" w:hAnsi="Arial" w:cs="Arial"/>
          <w:bCs/>
          <w:color w:val="000000" w:themeColor="text1"/>
          <w:sz w:val="22"/>
          <w:szCs w:val="22"/>
          <w:lang w:val="es-CO"/>
        </w:rPr>
      </w:pPr>
    </w:p>
    <w:p w14:paraId="7A3CFF40" w14:textId="0B0DF15A" w:rsidR="000F4300" w:rsidRPr="00CB4DED" w:rsidRDefault="000F4300" w:rsidP="000F4300">
      <w:pPr>
        <w:pStyle w:val="Prrafodelista"/>
        <w:numPr>
          <w:ilvl w:val="0"/>
          <w:numId w:val="36"/>
        </w:numPr>
        <w:jc w:val="both"/>
        <w:rPr>
          <w:rFonts w:ascii="Arial" w:hAnsi="Arial" w:cs="Arial"/>
          <w:b/>
          <w:bCs/>
          <w:sz w:val="22"/>
          <w:szCs w:val="22"/>
          <w:u w:val="single"/>
        </w:rPr>
      </w:pPr>
      <w:r w:rsidRPr="00CB4DED">
        <w:rPr>
          <w:rFonts w:ascii="Arial" w:hAnsi="Arial" w:cs="Arial"/>
          <w:b/>
          <w:bCs/>
          <w:sz w:val="22"/>
          <w:szCs w:val="22"/>
          <w:u w:val="single"/>
        </w:rPr>
        <w:t>DE LA SANCIÓN.</w:t>
      </w:r>
    </w:p>
    <w:p w14:paraId="3745DB23" w14:textId="3989E5AD" w:rsidR="000F4300" w:rsidRPr="008D5937" w:rsidRDefault="000F4300" w:rsidP="000F4300">
      <w:pPr>
        <w:widowControl w:val="0"/>
        <w:autoSpaceDE w:val="0"/>
        <w:autoSpaceDN w:val="0"/>
        <w:adjustRightInd w:val="0"/>
        <w:jc w:val="both"/>
        <w:rPr>
          <w:rFonts w:ascii="Arial" w:hAnsi="Arial" w:cs="Arial"/>
          <w:sz w:val="22"/>
          <w:szCs w:val="22"/>
          <w:lang w:val="es-MX"/>
        </w:rPr>
      </w:pPr>
      <w:r w:rsidRPr="008D5937">
        <w:rPr>
          <w:rFonts w:ascii="Arial" w:hAnsi="Arial" w:cs="Arial"/>
          <w:sz w:val="22"/>
          <w:szCs w:val="22"/>
          <w:lang w:val="es-MX"/>
        </w:rPr>
        <w:t>Frente al argumento esgrimido por el recurrente referido a que la multa a imponer es desproporcionada y excesiva, verificados los argumentos expuestos en el acto administrativo sancionatorio, se puede establecer de manera diáfana que cada uno de los factores que fueron tenidos en cuenta a la hora de valorar la cuantificación de la sanción a imponer.</w:t>
      </w:r>
    </w:p>
    <w:p w14:paraId="0DF4962D" w14:textId="77777777" w:rsidR="000F4300" w:rsidRPr="008D5937" w:rsidRDefault="000F4300" w:rsidP="000F4300">
      <w:pPr>
        <w:widowControl w:val="0"/>
        <w:jc w:val="both"/>
        <w:rPr>
          <w:rFonts w:ascii="Arial" w:hAnsi="Arial" w:cs="Arial"/>
          <w:sz w:val="22"/>
          <w:szCs w:val="22"/>
          <w:lang w:val="es-MX"/>
        </w:rPr>
      </w:pPr>
    </w:p>
    <w:p w14:paraId="7B31E242" w14:textId="77777777" w:rsidR="000F4300" w:rsidRPr="008D5937" w:rsidRDefault="000F4300" w:rsidP="000F4300">
      <w:pPr>
        <w:widowControl w:val="0"/>
        <w:autoSpaceDE w:val="0"/>
        <w:autoSpaceDN w:val="0"/>
        <w:adjustRightInd w:val="0"/>
        <w:jc w:val="both"/>
        <w:rPr>
          <w:rFonts w:ascii="Arial" w:hAnsi="Arial" w:cs="Arial"/>
          <w:sz w:val="22"/>
          <w:szCs w:val="22"/>
          <w:lang w:val="es-MX"/>
        </w:rPr>
      </w:pPr>
      <w:r w:rsidRPr="008D5937">
        <w:rPr>
          <w:rFonts w:ascii="Arial" w:hAnsi="Arial" w:cs="Arial"/>
          <w:sz w:val="22"/>
          <w:szCs w:val="22"/>
          <w:lang w:val="es-MX"/>
        </w:rPr>
        <w:t xml:space="preserve">Ahora bien, entiéndase que la proporcionalidad prevé presupuestos que ya se han analizado por parte del corte y que definen así: </w:t>
      </w:r>
    </w:p>
    <w:p w14:paraId="43C1FABB" w14:textId="77777777" w:rsidR="000F4300" w:rsidRPr="008D5937" w:rsidRDefault="000F4300" w:rsidP="000F4300">
      <w:pPr>
        <w:widowControl w:val="0"/>
        <w:jc w:val="both"/>
        <w:rPr>
          <w:rFonts w:ascii="Arial" w:hAnsi="Arial" w:cs="Arial"/>
          <w:sz w:val="22"/>
          <w:szCs w:val="22"/>
          <w:lang w:val="es-MX"/>
        </w:rPr>
      </w:pPr>
    </w:p>
    <w:p w14:paraId="03BCC269" w14:textId="77777777" w:rsidR="000F4300" w:rsidRPr="005E2D6B" w:rsidRDefault="000F4300" w:rsidP="000F4300">
      <w:pPr>
        <w:widowControl w:val="0"/>
        <w:autoSpaceDE w:val="0"/>
        <w:autoSpaceDN w:val="0"/>
        <w:adjustRightInd w:val="0"/>
        <w:ind w:left="567" w:right="476"/>
        <w:jc w:val="both"/>
        <w:rPr>
          <w:rFonts w:ascii="Arial" w:hAnsi="Arial" w:cs="Arial"/>
          <w:i/>
          <w:iCs/>
          <w:sz w:val="22"/>
          <w:szCs w:val="22"/>
          <w:lang w:val="es-MX"/>
        </w:rPr>
      </w:pPr>
      <w:r w:rsidRPr="005E2D6B">
        <w:rPr>
          <w:rFonts w:ascii="Arial" w:hAnsi="Arial" w:cs="Arial"/>
          <w:i/>
          <w:iCs/>
          <w:sz w:val="22"/>
          <w:szCs w:val="22"/>
        </w:rPr>
        <w:t>“El concepto de proporcionalidad comprende tres conceptos parciales: la adecuación de los medios escogidos para la consecución del fin perseguido, la necesidad de la utilización de esos medios para el logro del fin (esto es, que no exista otro medio que pueda conducir al fin y que sacrifique en menor medida los principios constitucionales afectados por el uso de esos medios), y la proporcionalidad en sentido estricto entre medios y fin, es decir, que el principio satisfecho por el logro de este fin no sacrifique principios constitucionalmente más importantes”</w:t>
      </w:r>
      <w:r w:rsidRPr="005E2D6B">
        <w:rPr>
          <w:rStyle w:val="Refdenotaalpie"/>
          <w:rFonts w:ascii="Arial" w:hAnsi="Arial" w:cs="Arial"/>
          <w:i/>
          <w:iCs/>
          <w:sz w:val="22"/>
          <w:szCs w:val="22"/>
        </w:rPr>
        <w:footnoteReference w:id="6"/>
      </w:r>
    </w:p>
    <w:p w14:paraId="7B7AEDE3" w14:textId="77777777" w:rsidR="000F4300" w:rsidRPr="008D5937" w:rsidRDefault="000F4300" w:rsidP="000F4300">
      <w:pPr>
        <w:widowControl w:val="0"/>
        <w:ind w:left="567" w:right="476"/>
        <w:jc w:val="both"/>
        <w:rPr>
          <w:rFonts w:ascii="Arial" w:hAnsi="Arial" w:cs="Arial"/>
          <w:i/>
          <w:iCs/>
          <w:sz w:val="22"/>
          <w:szCs w:val="22"/>
        </w:rPr>
      </w:pPr>
    </w:p>
    <w:p w14:paraId="36052310" w14:textId="77777777" w:rsidR="000F4300" w:rsidRPr="008D5937" w:rsidRDefault="000F4300" w:rsidP="000F4300">
      <w:pPr>
        <w:widowControl w:val="0"/>
        <w:autoSpaceDE w:val="0"/>
        <w:autoSpaceDN w:val="0"/>
        <w:adjustRightInd w:val="0"/>
        <w:jc w:val="both"/>
        <w:rPr>
          <w:rFonts w:ascii="Arial" w:hAnsi="Arial" w:cs="Arial"/>
          <w:sz w:val="22"/>
          <w:szCs w:val="22"/>
        </w:rPr>
      </w:pPr>
      <w:r w:rsidRPr="008D5937">
        <w:rPr>
          <w:rFonts w:ascii="Arial" w:hAnsi="Arial" w:cs="Arial"/>
          <w:sz w:val="22"/>
          <w:szCs w:val="22"/>
          <w:lang w:val="es-MX"/>
        </w:rPr>
        <w:t xml:space="preserve">De lo anterior, puede concluirse que frente al hecho de incumplir obligaciones adquiridas y previamente conocidas por el enajenador, la respuesta será que una vez verificada la omisión y demostrado que no existen elementos que permitan entrever que existe justificación para sustraerse de sus obligaciones, </w:t>
      </w:r>
      <w:r w:rsidRPr="008D5937">
        <w:rPr>
          <w:rFonts w:ascii="Arial" w:hAnsi="Arial" w:cs="Arial"/>
          <w:sz w:val="22"/>
          <w:szCs w:val="22"/>
        </w:rPr>
        <w:t xml:space="preserve"> la consecuencia será la imposición de una sanción, la cual se encuentra prevista en el ordenamiento y que es consecuente con el incumplimiento de las obligaciones, razón por la que carece de fundamento el indicar que sería aplicable como sanción imponer multa diferente, ya que el análisis realizado en la sanción, es claro y suficiente frente la proporcionalidad de la sanción a imponer. </w:t>
      </w:r>
    </w:p>
    <w:p w14:paraId="7E1EF18E" w14:textId="77777777" w:rsidR="000F4300" w:rsidRPr="008D5937" w:rsidRDefault="000F4300" w:rsidP="000F4300">
      <w:pPr>
        <w:widowControl w:val="0"/>
        <w:autoSpaceDE w:val="0"/>
        <w:autoSpaceDN w:val="0"/>
        <w:adjustRightInd w:val="0"/>
        <w:jc w:val="both"/>
        <w:rPr>
          <w:rFonts w:ascii="Arial" w:hAnsi="Arial" w:cs="Arial"/>
          <w:sz w:val="22"/>
          <w:szCs w:val="22"/>
        </w:rPr>
      </w:pPr>
    </w:p>
    <w:p w14:paraId="0425BF23" w14:textId="77777777" w:rsidR="000F4300" w:rsidRPr="008D5937" w:rsidRDefault="000F4300" w:rsidP="000F4300">
      <w:pPr>
        <w:jc w:val="both"/>
        <w:rPr>
          <w:rFonts w:ascii="Arial" w:hAnsi="Arial" w:cs="Arial"/>
          <w:sz w:val="22"/>
          <w:szCs w:val="22"/>
        </w:rPr>
      </w:pPr>
      <w:r w:rsidRPr="008D5937">
        <w:rPr>
          <w:rFonts w:ascii="Arial" w:hAnsi="Arial" w:cs="Arial"/>
          <w:bCs/>
          <w:sz w:val="22"/>
          <w:szCs w:val="22"/>
          <w:lang w:val="es-ES"/>
        </w:rPr>
        <w:t xml:space="preserve">Por otro lado, es preciso señalar que, en el ejercicio de la </w:t>
      </w:r>
      <w:r w:rsidRPr="008D5937">
        <w:rPr>
          <w:rFonts w:ascii="Arial" w:eastAsia="Cambria" w:hAnsi="Arial" w:cs="Arial"/>
          <w:spacing w:val="-3"/>
          <w:sz w:val="22"/>
          <w:szCs w:val="22"/>
          <w:lang w:val="es-ES" w:eastAsia="en-US"/>
        </w:rPr>
        <w:t>proporcionalidad de la sanción, la Corte Constitucional en la Sentencia C-412 del 2015, Magistrado Ponente Alberto Rojas Ríos, explica las tendencias que existen en nuestro país al momento de imponer las sanciones, expuestas por esta corporación de la siguiente manera:</w:t>
      </w:r>
    </w:p>
    <w:p w14:paraId="37226095" w14:textId="77777777" w:rsidR="000F4300" w:rsidRDefault="000F4300" w:rsidP="000F4300">
      <w:pPr>
        <w:ind w:left="708"/>
        <w:jc w:val="both"/>
        <w:rPr>
          <w:rFonts w:ascii="Arial" w:eastAsia="Cambria" w:hAnsi="Arial" w:cs="Arial"/>
          <w:i/>
          <w:sz w:val="22"/>
          <w:szCs w:val="22"/>
          <w:shd w:val="clear" w:color="auto" w:fill="FFFFFF"/>
          <w:lang w:val="es-ES" w:eastAsia="en-US"/>
        </w:rPr>
      </w:pPr>
    </w:p>
    <w:p w14:paraId="3CDFF6D1" w14:textId="77777777" w:rsidR="000F4300" w:rsidRPr="005E2D6B" w:rsidRDefault="000F4300" w:rsidP="000F4300">
      <w:pPr>
        <w:ind w:left="708"/>
        <w:jc w:val="both"/>
        <w:rPr>
          <w:rFonts w:ascii="Arial" w:eastAsia="Cambria" w:hAnsi="Arial" w:cs="Arial"/>
          <w:sz w:val="22"/>
          <w:szCs w:val="22"/>
          <w:shd w:val="clear" w:color="auto" w:fill="FFFFFF"/>
          <w:lang w:val="es-ES" w:eastAsia="en-US"/>
        </w:rPr>
      </w:pPr>
      <w:r w:rsidRPr="005E2D6B">
        <w:rPr>
          <w:rFonts w:ascii="Arial" w:eastAsia="Cambria" w:hAnsi="Arial" w:cs="Arial"/>
          <w:i/>
          <w:sz w:val="22"/>
          <w:szCs w:val="22"/>
          <w:shd w:val="clear" w:color="auto" w:fill="FFFFFF"/>
          <w:lang w:val="es-ES" w:eastAsia="en-US"/>
        </w:rPr>
        <w:t>“…El debido proceso integrado a su vez por el principio de legalidad y de reserva legal, en lo que al derecho administrativo sancionador se refiere, establece el deber del legislador de predeterminar la sanción y, para lo cual, le corresponde indicar los aspectos relativos a su núcleo esencial, a saber: clase, término, cuantía y el tope máximo, con el fin de proporcionar al funcionario competente un marco de referencia cierto para la determinación e imposición de la sanción y a los administrados el conocimiento de las consecuencias que se derivan de su trasgresión. Esto a diferencia de lo que sucede en el derecho penal “donde la descripción de los hechos punibles es detallada.”</w:t>
      </w:r>
      <w:r w:rsidRPr="005E2D6B">
        <w:rPr>
          <w:rFonts w:ascii="Arial" w:eastAsia="Cambria" w:hAnsi="Arial" w:cs="Arial"/>
          <w:sz w:val="22"/>
          <w:szCs w:val="22"/>
          <w:shd w:val="clear" w:color="auto" w:fill="FFFFFF"/>
          <w:lang w:val="es-ES" w:eastAsia="en-US"/>
        </w:rPr>
        <w:t>.</w:t>
      </w:r>
    </w:p>
    <w:p w14:paraId="770C7CB9" w14:textId="77777777" w:rsidR="000F4300" w:rsidRPr="008D5937" w:rsidRDefault="000F4300" w:rsidP="000F4300">
      <w:pPr>
        <w:jc w:val="both"/>
        <w:rPr>
          <w:rFonts w:ascii="Arial" w:hAnsi="Arial" w:cs="Arial"/>
          <w:spacing w:val="-3"/>
          <w:sz w:val="22"/>
          <w:szCs w:val="22"/>
          <w:lang w:val="es-ES"/>
        </w:rPr>
      </w:pPr>
    </w:p>
    <w:p w14:paraId="3519CC61" w14:textId="77777777" w:rsidR="000F4300" w:rsidRDefault="000F4300" w:rsidP="000F4300">
      <w:pPr>
        <w:widowControl w:val="0"/>
        <w:autoSpaceDE w:val="0"/>
        <w:autoSpaceDN w:val="0"/>
        <w:adjustRightInd w:val="0"/>
        <w:jc w:val="both"/>
        <w:rPr>
          <w:rFonts w:ascii="Arial" w:eastAsia="Calibri" w:hAnsi="Arial" w:cs="Arial"/>
          <w:sz w:val="22"/>
          <w:szCs w:val="22"/>
        </w:rPr>
      </w:pPr>
      <w:r w:rsidRPr="008D5937">
        <w:rPr>
          <w:rFonts w:ascii="Arial" w:hAnsi="Arial" w:cs="Arial"/>
          <w:sz w:val="22"/>
          <w:szCs w:val="22"/>
        </w:rPr>
        <w:t xml:space="preserve">Así las cosas, </w:t>
      </w:r>
      <w:r w:rsidRPr="008D5937">
        <w:rPr>
          <w:rFonts w:ascii="Arial" w:eastAsia="Calibri" w:hAnsi="Arial" w:cs="Arial"/>
          <w:sz w:val="22"/>
          <w:szCs w:val="22"/>
        </w:rPr>
        <w:t xml:space="preserve">el monto de la multa obedece a los criterios establecidos en el artículo 50 de la ley 1473 de 2011, y en todo momento respetando los límites de esta determinados en la Ley 66 de 1968. </w:t>
      </w:r>
    </w:p>
    <w:p w14:paraId="39C272CA" w14:textId="77777777" w:rsidR="000F4300" w:rsidRPr="008D5937" w:rsidRDefault="000F4300" w:rsidP="000F4300">
      <w:pPr>
        <w:jc w:val="both"/>
        <w:rPr>
          <w:rFonts w:ascii="Arial" w:hAnsi="Arial" w:cs="Arial"/>
          <w:sz w:val="22"/>
          <w:szCs w:val="22"/>
        </w:rPr>
      </w:pPr>
    </w:p>
    <w:p w14:paraId="73BA8925" w14:textId="3DAC241D" w:rsidR="000F4300" w:rsidRDefault="000F4300" w:rsidP="000F4300">
      <w:pPr>
        <w:jc w:val="both"/>
        <w:rPr>
          <w:rFonts w:ascii="Arial" w:eastAsia="Tahoma" w:hAnsi="Arial" w:cs="Arial"/>
          <w:sz w:val="22"/>
          <w:szCs w:val="22"/>
        </w:rPr>
      </w:pPr>
      <w:r w:rsidRPr="00B668EC">
        <w:rPr>
          <w:rFonts w:ascii="Arial" w:hAnsi="Arial" w:cs="Arial"/>
          <w:sz w:val="22"/>
          <w:szCs w:val="22"/>
        </w:rPr>
        <w:t xml:space="preserve">Que visto lo anterior, se tiene que los argumentos presentados por la sociedad enajenadora no están llamados a prosperar, razón por la cual este Despacho procederá a confirmar la Resolución No. </w:t>
      </w:r>
      <w:r>
        <w:rPr>
          <w:rFonts w:ascii="Arial" w:hAnsi="Arial" w:cs="Arial"/>
          <w:sz w:val="22"/>
          <w:szCs w:val="22"/>
        </w:rPr>
        <w:t xml:space="preserve">30 </w:t>
      </w:r>
      <w:r w:rsidRPr="00B858FC">
        <w:rPr>
          <w:rFonts w:ascii="Arial" w:hAnsi="Arial" w:cs="Arial"/>
          <w:sz w:val="22"/>
          <w:szCs w:val="22"/>
        </w:rPr>
        <w:t xml:space="preserve">del </w:t>
      </w:r>
      <w:r>
        <w:rPr>
          <w:rFonts w:ascii="Arial" w:hAnsi="Arial" w:cs="Arial"/>
          <w:sz w:val="22"/>
          <w:szCs w:val="22"/>
        </w:rPr>
        <w:t>23 de enero de 2025</w:t>
      </w:r>
      <w:r w:rsidRPr="00B858FC">
        <w:rPr>
          <w:rFonts w:ascii="Arial" w:hAnsi="Arial" w:cs="Arial"/>
          <w:sz w:val="22"/>
          <w:szCs w:val="22"/>
        </w:rPr>
        <w:t xml:space="preserve"> </w:t>
      </w:r>
      <w:r w:rsidRPr="00B858FC">
        <w:rPr>
          <w:rFonts w:ascii="Arial" w:hAnsi="Arial" w:cs="Arial"/>
          <w:i/>
          <w:iCs/>
          <w:sz w:val="22"/>
          <w:szCs w:val="22"/>
        </w:rPr>
        <w:t>“Por la cual se impone una multa por incumplimiento a una orden”</w:t>
      </w:r>
      <w:r w:rsidRPr="00B858FC">
        <w:rPr>
          <w:rFonts w:ascii="Arial" w:hAnsi="Arial" w:cs="Arial"/>
          <w:sz w:val="22"/>
          <w:szCs w:val="22"/>
        </w:rPr>
        <w:t>,</w:t>
      </w:r>
      <w:r w:rsidRPr="00B668EC">
        <w:rPr>
          <w:rFonts w:ascii="Arial" w:eastAsia="Tahoma" w:hAnsi="Arial" w:cs="Arial"/>
          <w:i/>
          <w:iCs/>
          <w:sz w:val="22"/>
          <w:szCs w:val="22"/>
        </w:rPr>
        <w:t xml:space="preserve"> </w:t>
      </w:r>
      <w:r w:rsidRPr="00B668EC">
        <w:rPr>
          <w:rFonts w:ascii="Arial" w:eastAsia="Tahoma" w:hAnsi="Arial" w:cs="Arial"/>
          <w:sz w:val="22"/>
          <w:szCs w:val="22"/>
        </w:rPr>
        <w:t>por las razones anotadas.</w:t>
      </w:r>
      <w:r w:rsidRPr="008D5937">
        <w:rPr>
          <w:rFonts w:ascii="Arial" w:eastAsia="Tahoma" w:hAnsi="Arial" w:cs="Arial"/>
          <w:sz w:val="22"/>
          <w:szCs w:val="22"/>
        </w:rPr>
        <w:t xml:space="preserve"> </w:t>
      </w:r>
    </w:p>
    <w:p w14:paraId="6D4DAF35" w14:textId="77777777" w:rsidR="003A2C21" w:rsidRDefault="003A2C21" w:rsidP="003A2C21">
      <w:pPr>
        <w:jc w:val="both"/>
        <w:rPr>
          <w:rFonts w:ascii="Arial" w:eastAsia="Tahoma" w:hAnsi="Arial" w:cs="Arial"/>
          <w:sz w:val="22"/>
          <w:szCs w:val="22"/>
        </w:rPr>
      </w:pPr>
    </w:p>
    <w:p w14:paraId="5847891A" w14:textId="77777777" w:rsidR="003A2C21" w:rsidRPr="00775226" w:rsidRDefault="003A2C21" w:rsidP="003A2C21">
      <w:pPr>
        <w:jc w:val="both"/>
        <w:rPr>
          <w:rFonts w:ascii="Arial" w:hAnsi="Arial" w:cs="Arial"/>
          <w:bCs/>
          <w:color w:val="000000" w:themeColor="text1"/>
          <w:spacing w:val="-3"/>
          <w:sz w:val="22"/>
          <w:szCs w:val="22"/>
          <w:lang w:val="es-CO"/>
        </w:rPr>
      </w:pPr>
      <w:r>
        <w:rPr>
          <w:rFonts w:ascii="Arial" w:hAnsi="Arial" w:cs="Arial"/>
          <w:bCs/>
          <w:color w:val="000000" w:themeColor="text1"/>
          <w:spacing w:val="-3"/>
          <w:sz w:val="22"/>
          <w:szCs w:val="22"/>
        </w:rPr>
        <w:t>Ahora</w:t>
      </w:r>
      <w:r w:rsidRPr="00775226">
        <w:rPr>
          <w:rFonts w:ascii="Arial" w:hAnsi="Arial" w:cs="Arial"/>
          <w:bCs/>
          <w:color w:val="000000" w:themeColor="text1"/>
          <w:spacing w:val="-3"/>
          <w:sz w:val="22"/>
          <w:szCs w:val="22"/>
        </w:rPr>
        <w:t xml:space="preserve">, según lo dispuesto en el artículo 74 de la Ley 1437 de 2011, por regla general, </w:t>
      </w:r>
      <w:r w:rsidRPr="00775226">
        <w:rPr>
          <w:rFonts w:ascii="Arial" w:hAnsi="Arial" w:cs="Arial"/>
          <w:bCs/>
          <w:color w:val="000000" w:themeColor="text1"/>
          <w:spacing w:val="-3"/>
          <w:sz w:val="22"/>
          <w:szCs w:val="22"/>
          <w:lang w:val="es-CO"/>
        </w:rPr>
        <w:t xml:space="preserve">contra los actos definitivos procederán, los recursos de reposición, ante quien expidió la decisión para que la aclare, modifique, adicione o revoque; el de apelación, ante el inmediato superior administrativo o funcional con el mismo propósito, y el de queja cuando se niega la apelación. </w:t>
      </w:r>
    </w:p>
    <w:p w14:paraId="4B639D29" w14:textId="77777777" w:rsidR="003A2C21" w:rsidRPr="00775226" w:rsidRDefault="003A2C21" w:rsidP="003A2C21">
      <w:pPr>
        <w:jc w:val="both"/>
        <w:rPr>
          <w:rFonts w:ascii="Arial" w:hAnsi="Arial" w:cs="Arial"/>
          <w:bCs/>
          <w:color w:val="000000" w:themeColor="text1"/>
          <w:spacing w:val="-3"/>
          <w:sz w:val="22"/>
          <w:szCs w:val="22"/>
          <w:lang w:val="es-CO"/>
        </w:rPr>
      </w:pPr>
    </w:p>
    <w:p w14:paraId="47910B41" w14:textId="77777777" w:rsidR="003A2C21" w:rsidRPr="00775226" w:rsidRDefault="003A2C21" w:rsidP="003A2C21">
      <w:pPr>
        <w:jc w:val="both"/>
        <w:rPr>
          <w:rFonts w:ascii="Arial" w:hAnsi="Arial" w:cs="Arial"/>
          <w:bCs/>
          <w:color w:val="000000" w:themeColor="text1"/>
          <w:spacing w:val="-3"/>
          <w:sz w:val="22"/>
          <w:szCs w:val="22"/>
          <w:lang w:val="es-CO"/>
        </w:rPr>
      </w:pPr>
      <w:r w:rsidRPr="00775226">
        <w:rPr>
          <w:rFonts w:ascii="Arial" w:hAnsi="Arial" w:cs="Arial"/>
          <w:bCs/>
          <w:color w:val="000000" w:themeColor="text1"/>
          <w:spacing w:val="-3"/>
          <w:sz w:val="22"/>
          <w:szCs w:val="22"/>
          <w:lang w:val="es-CO"/>
        </w:rPr>
        <w:t>Entonces, como quiera que en el caso que nos ocupa, el recurrente presentó de manera subsidiaria el recurso de apelación, por considerarlo procedente, este Despacho atenderá de manera favorable tal pedimento y en consecuencia se dará traslado del asunto a la Subsecretaría de Inspección Vigilancia y Control de esta Entidad para los fines correspondientes, conforme a las competencias otorgadas por la Constitución y la Ley.</w:t>
      </w:r>
    </w:p>
    <w:p w14:paraId="2269A2E4" w14:textId="77777777" w:rsidR="003A2C21" w:rsidRPr="005E2D6B" w:rsidRDefault="003A2C21" w:rsidP="003A2C21">
      <w:pPr>
        <w:jc w:val="both"/>
        <w:rPr>
          <w:rFonts w:ascii="Arial" w:eastAsia="Tahoma" w:hAnsi="Arial" w:cs="Arial"/>
          <w:sz w:val="22"/>
          <w:szCs w:val="22"/>
          <w:lang w:val="es-CO"/>
        </w:rPr>
      </w:pPr>
    </w:p>
    <w:p w14:paraId="499ADC58" w14:textId="77777777" w:rsidR="003A2C21" w:rsidRPr="008D5937" w:rsidRDefault="003A2C21" w:rsidP="003A2C21">
      <w:pPr>
        <w:jc w:val="both"/>
        <w:rPr>
          <w:rFonts w:ascii="Arial" w:hAnsi="Arial" w:cs="Arial"/>
          <w:sz w:val="22"/>
          <w:szCs w:val="22"/>
        </w:rPr>
      </w:pPr>
      <w:r w:rsidRPr="008D5937">
        <w:rPr>
          <w:rFonts w:ascii="Arial" w:hAnsi="Arial" w:cs="Arial"/>
          <w:sz w:val="22"/>
          <w:szCs w:val="22"/>
        </w:rPr>
        <w:t>En mérito de lo expuesto el Despacho,</w:t>
      </w:r>
    </w:p>
    <w:p w14:paraId="5503FBCD" w14:textId="77777777" w:rsidR="003A2C21" w:rsidRPr="008D5937" w:rsidRDefault="003A2C21" w:rsidP="003A2C21">
      <w:pPr>
        <w:pStyle w:val="Sinespaciado"/>
        <w:jc w:val="center"/>
        <w:rPr>
          <w:rFonts w:ascii="Arial" w:hAnsi="Arial" w:cs="Arial"/>
          <w:b/>
          <w:iCs/>
        </w:rPr>
      </w:pPr>
    </w:p>
    <w:p w14:paraId="14DFCD87" w14:textId="77777777" w:rsidR="003A2C21" w:rsidRPr="008D5937" w:rsidRDefault="003A2C21" w:rsidP="003A2C21">
      <w:pPr>
        <w:pStyle w:val="Sinespaciado"/>
        <w:jc w:val="center"/>
        <w:rPr>
          <w:rFonts w:ascii="Arial" w:hAnsi="Arial" w:cs="Arial"/>
          <w:b/>
          <w:iCs/>
        </w:rPr>
      </w:pPr>
      <w:r w:rsidRPr="008D5937">
        <w:rPr>
          <w:rFonts w:ascii="Arial" w:hAnsi="Arial" w:cs="Arial"/>
          <w:b/>
          <w:iCs/>
        </w:rPr>
        <w:t>RESUELVE</w:t>
      </w:r>
    </w:p>
    <w:p w14:paraId="68DC76A7" w14:textId="77777777" w:rsidR="003A2C21" w:rsidRPr="008D5937" w:rsidRDefault="003A2C21" w:rsidP="003A2C21">
      <w:pPr>
        <w:pStyle w:val="Sinespaciado"/>
        <w:jc w:val="center"/>
        <w:rPr>
          <w:rFonts w:ascii="Arial" w:hAnsi="Arial" w:cs="Arial"/>
          <w:b/>
          <w:iCs/>
        </w:rPr>
      </w:pPr>
    </w:p>
    <w:p w14:paraId="6CC0D0DD" w14:textId="0E5E5CE0" w:rsidR="003A2C21" w:rsidRPr="008D5937" w:rsidRDefault="003A2C21" w:rsidP="003A2C21">
      <w:pPr>
        <w:pStyle w:val="chalo"/>
        <w:rPr>
          <w:rFonts w:ascii="Arial" w:hAnsi="Arial" w:cs="Arial"/>
          <w:sz w:val="22"/>
          <w:szCs w:val="22"/>
          <w:lang w:eastAsia="es-CO"/>
        </w:rPr>
      </w:pPr>
      <w:r w:rsidRPr="008D5937">
        <w:rPr>
          <w:rFonts w:ascii="Arial" w:hAnsi="Arial" w:cs="Arial"/>
          <w:b/>
          <w:bCs/>
          <w:sz w:val="22"/>
          <w:szCs w:val="22"/>
          <w:lang w:eastAsia="es-CO"/>
        </w:rPr>
        <w:t xml:space="preserve">ARTÍCULO PRIMERO: </w:t>
      </w:r>
      <w:r w:rsidRPr="008D5937">
        <w:rPr>
          <w:rFonts w:ascii="Arial" w:hAnsi="Arial" w:cs="Arial"/>
          <w:b/>
          <w:bCs/>
          <w:sz w:val="22"/>
          <w:szCs w:val="22"/>
        </w:rPr>
        <w:t>NO REPONER</w:t>
      </w:r>
      <w:r w:rsidRPr="008D5937">
        <w:rPr>
          <w:rFonts w:ascii="Arial" w:hAnsi="Arial" w:cs="Arial"/>
          <w:sz w:val="22"/>
          <w:szCs w:val="22"/>
        </w:rPr>
        <w:t xml:space="preserve"> </w:t>
      </w:r>
      <w:bookmarkStart w:id="5" w:name="_Hlk76138669"/>
      <w:bookmarkStart w:id="6" w:name="_Hlk76139456"/>
      <w:r w:rsidRPr="008D5937">
        <w:rPr>
          <w:rFonts w:ascii="Arial" w:hAnsi="Arial" w:cs="Arial"/>
          <w:bCs/>
          <w:sz w:val="22"/>
          <w:szCs w:val="22"/>
        </w:rPr>
        <w:t>la</w:t>
      </w:r>
      <w:bookmarkEnd w:id="5"/>
      <w:r w:rsidRPr="008D5937">
        <w:rPr>
          <w:rFonts w:ascii="Arial" w:hAnsi="Arial" w:cs="Arial"/>
          <w:sz w:val="22"/>
          <w:szCs w:val="22"/>
        </w:rPr>
        <w:t xml:space="preserve"> </w:t>
      </w:r>
      <w:bookmarkStart w:id="7" w:name="_Hlk130146263"/>
      <w:r w:rsidRPr="008D5937">
        <w:rPr>
          <w:rFonts w:ascii="Arial" w:hAnsi="Arial" w:cs="Arial"/>
          <w:sz w:val="22"/>
          <w:szCs w:val="22"/>
        </w:rPr>
        <w:t xml:space="preserve">Resolución </w:t>
      </w:r>
      <w:r w:rsidRPr="008D5937">
        <w:rPr>
          <w:rFonts w:ascii="Arial" w:eastAsia="Tahoma" w:hAnsi="Arial" w:cs="Arial"/>
          <w:sz w:val="22"/>
          <w:szCs w:val="22"/>
        </w:rPr>
        <w:t xml:space="preserve">No. </w:t>
      </w:r>
      <w:r w:rsidR="00572DA1">
        <w:rPr>
          <w:rFonts w:ascii="Arial" w:eastAsia="Tahoma" w:hAnsi="Arial" w:cs="Arial"/>
          <w:sz w:val="22"/>
          <w:szCs w:val="22"/>
        </w:rPr>
        <w:t>30 del 23 de enero de 2025</w:t>
      </w:r>
      <w:r w:rsidRPr="008D5937">
        <w:rPr>
          <w:rFonts w:ascii="Arial" w:eastAsia="Tahoma" w:hAnsi="Arial" w:cs="Arial"/>
          <w:sz w:val="22"/>
          <w:szCs w:val="22"/>
        </w:rPr>
        <w:t>,</w:t>
      </w:r>
      <w:r w:rsidRPr="008D5937">
        <w:rPr>
          <w:rFonts w:ascii="Arial" w:eastAsia="Tahoma" w:hAnsi="Arial" w:cs="Arial"/>
          <w:i/>
          <w:iCs/>
          <w:sz w:val="22"/>
          <w:szCs w:val="22"/>
        </w:rPr>
        <w:t xml:space="preserve"> “por la cual se impone una multa por incumplimiento a una orden”</w:t>
      </w:r>
      <w:r w:rsidRPr="008D5937">
        <w:rPr>
          <w:rFonts w:ascii="Arial" w:hAnsi="Arial" w:cs="Arial"/>
          <w:i/>
          <w:iCs/>
          <w:sz w:val="22"/>
          <w:szCs w:val="22"/>
        </w:rPr>
        <w:t>,</w:t>
      </w:r>
      <w:r w:rsidRPr="008D5937">
        <w:rPr>
          <w:rFonts w:ascii="Arial" w:hAnsi="Arial" w:cs="Arial"/>
          <w:sz w:val="22"/>
          <w:szCs w:val="22"/>
        </w:rPr>
        <w:t xml:space="preserve"> proferida</w:t>
      </w:r>
      <w:r w:rsidRPr="008D5937">
        <w:rPr>
          <w:rFonts w:ascii="Arial" w:hAnsi="Arial" w:cs="Arial"/>
          <w:i/>
          <w:iCs/>
          <w:sz w:val="22"/>
          <w:szCs w:val="22"/>
        </w:rPr>
        <w:t xml:space="preserve"> </w:t>
      </w:r>
      <w:bookmarkEnd w:id="6"/>
      <w:bookmarkEnd w:id="7"/>
      <w:r w:rsidRPr="008D5937">
        <w:rPr>
          <w:rFonts w:ascii="Arial" w:hAnsi="Arial" w:cs="Arial"/>
          <w:sz w:val="22"/>
          <w:szCs w:val="22"/>
        </w:rPr>
        <w:t>dentro de la actuación administrativa adelantada en contra de la sociedad enajenadora</w:t>
      </w:r>
      <w:r w:rsidRPr="008D5937">
        <w:rPr>
          <w:rFonts w:ascii="Arial" w:hAnsi="Arial" w:cs="Arial"/>
          <w:bCs/>
          <w:sz w:val="22"/>
          <w:szCs w:val="22"/>
        </w:rPr>
        <w:t xml:space="preserve"> </w:t>
      </w:r>
      <w:r w:rsidR="00022ADA">
        <w:rPr>
          <w:rFonts w:ascii="Arial" w:hAnsi="Arial" w:cs="Arial"/>
          <w:bCs/>
          <w:sz w:val="22"/>
          <w:szCs w:val="22"/>
        </w:rPr>
        <w:t>INTERPANEL S.A.S.</w:t>
      </w:r>
      <w:r w:rsidRPr="008D5937">
        <w:rPr>
          <w:rFonts w:ascii="Arial" w:hAnsi="Arial" w:cs="Arial"/>
          <w:bCs/>
          <w:sz w:val="22"/>
          <w:szCs w:val="22"/>
        </w:rPr>
        <w:t xml:space="preserve">, identificada con el NIT. </w:t>
      </w:r>
      <w:r w:rsidR="00B659F1">
        <w:rPr>
          <w:rFonts w:ascii="Arial" w:hAnsi="Arial" w:cs="Arial"/>
          <w:bCs/>
          <w:sz w:val="22"/>
          <w:szCs w:val="22"/>
        </w:rPr>
        <w:t>900.167.070-8</w:t>
      </w:r>
      <w:r w:rsidRPr="008D5937">
        <w:rPr>
          <w:rFonts w:ascii="Arial" w:hAnsi="Arial" w:cs="Arial"/>
          <w:bCs/>
          <w:sz w:val="22"/>
          <w:szCs w:val="22"/>
        </w:rPr>
        <w:t xml:space="preserve">, </w:t>
      </w:r>
      <w:r w:rsidRPr="008D5937">
        <w:rPr>
          <w:rFonts w:ascii="Arial" w:hAnsi="Arial" w:cs="Arial"/>
          <w:sz w:val="22"/>
          <w:szCs w:val="22"/>
        </w:rPr>
        <w:t>por</w:t>
      </w:r>
      <w:r w:rsidRPr="008D5937">
        <w:rPr>
          <w:rFonts w:ascii="Arial" w:hAnsi="Arial" w:cs="Arial"/>
          <w:sz w:val="22"/>
          <w:szCs w:val="22"/>
          <w:lang w:eastAsia="es-CO"/>
        </w:rPr>
        <w:t xml:space="preserve"> las razones expuestas en la parte motiva del presente acto administrativo.</w:t>
      </w:r>
    </w:p>
    <w:p w14:paraId="3C199337" w14:textId="77777777" w:rsidR="003A2C21" w:rsidRPr="008D5937" w:rsidRDefault="003A2C21" w:rsidP="003A2C21">
      <w:pPr>
        <w:pStyle w:val="chalo"/>
        <w:rPr>
          <w:rFonts w:ascii="Arial" w:eastAsia="Tahoma" w:hAnsi="Arial" w:cs="Arial"/>
          <w:sz w:val="22"/>
          <w:szCs w:val="22"/>
        </w:rPr>
      </w:pPr>
    </w:p>
    <w:p w14:paraId="3C31723B" w14:textId="509F2E33" w:rsidR="003A2C21" w:rsidRPr="008D5937" w:rsidRDefault="003A2C21" w:rsidP="003A2C21">
      <w:pPr>
        <w:pStyle w:val="chalo"/>
        <w:rPr>
          <w:rFonts w:ascii="Arial" w:hAnsi="Arial" w:cs="Arial"/>
          <w:bCs/>
          <w:sz w:val="22"/>
          <w:szCs w:val="22"/>
          <w:lang w:eastAsia="es-CO"/>
        </w:rPr>
      </w:pPr>
      <w:r w:rsidRPr="008D5937">
        <w:rPr>
          <w:rFonts w:ascii="Arial" w:hAnsi="Arial" w:cs="Arial"/>
          <w:b/>
          <w:bCs/>
          <w:sz w:val="22"/>
          <w:szCs w:val="22"/>
          <w:lang w:eastAsia="es-CO"/>
        </w:rPr>
        <w:t xml:space="preserve">ARTÍCULO SEGUNDO: </w:t>
      </w:r>
      <w:r w:rsidRPr="008D5937">
        <w:rPr>
          <w:rFonts w:ascii="Arial" w:hAnsi="Arial" w:cs="Arial"/>
          <w:bCs/>
          <w:sz w:val="22"/>
          <w:szCs w:val="22"/>
          <w:lang w:eastAsia="es-CO"/>
        </w:rPr>
        <w:t xml:space="preserve">Confirmar en todas y cada una de sus partes la </w:t>
      </w:r>
      <w:r w:rsidRPr="008D5937">
        <w:rPr>
          <w:rFonts w:ascii="Arial" w:hAnsi="Arial" w:cs="Arial"/>
          <w:sz w:val="22"/>
          <w:szCs w:val="22"/>
        </w:rPr>
        <w:t xml:space="preserve">Resolución </w:t>
      </w:r>
      <w:r w:rsidRPr="008D5937">
        <w:rPr>
          <w:rFonts w:ascii="Arial" w:eastAsia="Tahoma" w:hAnsi="Arial" w:cs="Arial"/>
          <w:sz w:val="22"/>
          <w:szCs w:val="22"/>
        </w:rPr>
        <w:t xml:space="preserve">No. </w:t>
      </w:r>
      <w:r w:rsidR="00572DA1">
        <w:rPr>
          <w:rFonts w:ascii="Arial" w:eastAsia="Tahoma" w:hAnsi="Arial" w:cs="Arial"/>
          <w:sz w:val="22"/>
          <w:szCs w:val="22"/>
        </w:rPr>
        <w:t>30 del 23 de enero de 2025</w:t>
      </w:r>
      <w:r w:rsidRPr="008D5937">
        <w:rPr>
          <w:rFonts w:ascii="Arial" w:eastAsia="Tahoma" w:hAnsi="Arial" w:cs="Arial"/>
          <w:i/>
          <w:iCs/>
          <w:sz w:val="22"/>
          <w:szCs w:val="22"/>
        </w:rPr>
        <w:t xml:space="preserve"> “por la cual se impone una multa por incumplimiento a una orden”,</w:t>
      </w:r>
      <w:r w:rsidRPr="008D5937">
        <w:rPr>
          <w:rFonts w:ascii="Arial" w:hAnsi="Arial" w:cs="Arial"/>
          <w:sz w:val="22"/>
          <w:szCs w:val="22"/>
        </w:rPr>
        <w:t xml:space="preserve"> conforme las consideraciones expuestas en este acto administrativo.</w:t>
      </w:r>
    </w:p>
    <w:p w14:paraId="4FF825B0" w14:textId="77777777" w:rsidR="003A2C21" w:rsidRPr="008D5937" w:rsidRDefault="003A2C21" w:rsidP="003A2C21">
      <w:pPr>
        <w:pStyle w:val="chalo"/>
        <w:rPr>
          <w:rFonts w:ascii="Arial" w:hAnsi="Arial" w:cs="Arial"/>
          <w:bCs/>
          <w:sz w:val="22"/>
          <w:szCs w:val="22"/>
          <w:lang w:eastAsia="es-CO"/>
        </w:rPr>
      </w:pPr>
    </w:p>
    <w:p w14:paraId="7DCAAC1F" w14:textId="15B4F150" w:rsidR="003A2C21" w:rsidRPr="008D5937" w:rsidRDefault="003A2C21" w:rsidP="003A2C21">
      <w:pPr>
        <w:pStyle w:val="chalo"/>
        <w:rPr>
          <w:rFonts w:ascii="Arial" w:hAnsi="Arial" w:cs="Arial"/>
          <w:sz w:val="22"/>
          <w:szCs w:val="22"/>
          <w:lang w:eastAsia="es-CO"/>
        </w:rPr>
      </w:pPr>
      <w:r w:rsidRPr="008D5937">
        <w:rPr>
          <w:rFonts w:ascii="Arial" w:hAnsi="Arial" w:cs="Arial"/>
          <w:b/>
          <w:sz w:val="22"/>
          <w:szCs w:val="22"/>
        </w:rPr>
        <w:t xml:space="preserve">ARTÍCULO TERCERO: </w:t>
      </w:r>
      <w:r w:rsidRPr="008D5937">
        <w:rPr>
          <w:rFonts w:ascii="Arial" w:hAnsi="Arial" w:cs="Arial"/>
          <w:sz w:val="22"/>
          <w:szCs w:val="22"/>
        </w:rPr>
        <w:t>Conceder ante la Subsecretaría de Inspección, Vigilancia y Control de Vivienda de la Secretaría Distrital del Hábitat, en consecuencia, envíese el expediente al superior para lo de su competencia</w:t>
      </w:r>
    </w:p>
    <w:p w14:paraId="633A23A3" w14:textId="77777777" w:rsidR="003A2C21" w:rsidRPr="008D5937" w:rsidRDefault="003A2C21" w:rsidP="003A2C21">
      <w:pPr>
        <w:jc w:val="both"/>
        <w:rPr>
          <w:rFonts w:ascii="Arial" w:hAnsi="Arial" w:cs="Arial"/>
          <w:sz w:val="22"/>
          <w:szCs w:val="22"/>
          <w:lang w:val="es-ES" w:eastAsia="es-CO"/>
        </w:rPr>
      </w:pPr>
    </w:p>
    <w:p w14:paraId="71F0AD22" w14:textId="47C62C62" w:rsidR="003A2C21" w:rsidRDefault="003A2C21" w:rsidP="003A2C21">
      <w:pPr>
        <w:jc w:val="both"/>
        <w:rPr>
          <w:rFonts w:ascii="Arial" w:hAnsi="Arial" w:cs="Arial"/>
          <w:sz w:val="22"/>
          <w:szCs w:val="22"/>
        </w:rPr>
      </w:pPr>
      <w:r w:rsidRPr="00C15949">
        <w:rPr>
          <w:rFonts w:ascii="Arial" w:hAnsi="Arial" w:cs="Arial"/>
          <w:b/>
          <w:sz w:val="22"/>
          <w:szCs w:val="22"/>
        </w:rPr>
        <w:t>ARTÍCULO CUARTO:</w:t>
      </w:r>
      <w:r w:rsidRPr="00C15949">
        <w:rPr>
          <w:rFonts w:ascii="Arial" w:hAnsi="Arial" w:cs="Arial"/>
          <w:iCs/>
          <w:sz w:val="22"/>
          <w:szCs w:val="22"/>
          <w:lang w:val="es-CO"/>
        </w:rPr>
        <w:t xml:space="preserve"> </w:t>
      </w:r>
      <w:r w:rsidR="00E31CC5" w:rsidRPr="00C15949">
        <w:rPr>
          <w:rFonts w:ascii="Arial" w:hAnsi="Arial" w:cs="Arial"/>
          <w:sz w:val="22"/>
          <w:szCs w:val="22"/>
          <w:lang w:val="es"/>
        </w:rPr>
        <w:t xml:space="preserve">Notificar el contenido de la presente Resolución al representante legal y/o al apoderado de la sociedad enajenadora </w:t>
      </w:r>
      <w:r w:rsidR="00022ADA" w:rsidRPr="00C15949">
        <w:rPr>
          <w:rFonts w:ascii="Arial" w:hAnsi="Arial" w:cs="Arial"/>
          <w:sz w:val="22"/>
          <w:szCs w:val="22"/>
          <w:lang w:val="es"/>
        </w:rPr>
        <w:t>INTERPANEL S.A.S.</w:t>
      </w:r>
      <w:r w:rsidR="00E31CC5" w:rsidRPr="00C15949">
        <w:rPr>
          <w:rFonts w:ascii="Arial" w:hAnsi="Arial" w:cs="Arial"/>
          <w:sz w:val="22"/>
          <w:szCs w:val="22"/>
          <w:lang w:val="es"/>
        </w:rPr>
        <w:t>,</w:t>
      </w:r>
      <w:r w:rsidR="00E31CC5" w:rsidRPr="00C15949">
        <w:rPr>
          <w:rFonts w:ascii="Arial" w:hAnsi="Arial" w:cs="Arial"/>
          <w:b/>
          <w:bCs/>
          <w:sz w:val="22"/>
          <w:szCs w:val="22"/>
          <w:lang w:val="es"/>
        </w:rPr>
        <w:t xml:space="preserve"> </w:t>
      </w:r>
      <w:r w:rsidR="00E31CC5" w:rsidRPr="00C15949">
        <w:rPr>
          <w:rFonts w:ascii="Arial" w:hAnsi="Arial" w:cs="Arial"/>
          <w:sz w:val="22"/>
          <w:szCs w:val="22"/>
          <w:lang w:val="es"/>
        </w:rPr>
        <w:t>identificada con NIT. 830.012.053-3 (o quien haga sus veces)</w:t>
      </w:r>
      <w:r w:rsidR="00E31CC5" w:rsidRPr="00C15949">
        <w:rPr>
          <w:rFonts w:ascii="Arial" w:hAnsi="Arial" w:cs="Arial"/>
          <w:b/>
          <w:bCs/>
          <w:sz w:val="22"/>
          <w:szCs w:val="22"/>
          <w:lang w:val="es"/>
        </w:rPr>
        <w:t xml:space="preserve">, </w:t>
      </w:r>
      <w:r w:rsidR="00C15949" w:rsidRPr="00C15949">
        <w:rPr>
          <w:rFonts w:ascii="Arial" w:hAnsi="Arial" w:cs="Arial"/>
          <w:sz w:val="22"/>
          <w:szCs w:val="22"/>
        </w:rPr>
        <w:t>para lo cual deberá enviarse citación para</w:t>
      </w:r>
      <w:r w:rsidR="00C15949" w:rsidRPr="001C0BEF">
        <w:rPr>
          <w:rFonts w:ascii="Arial" w:hAnsi="Arial" w:cs="Arial"/>
          <w:sz w:val="22"/>
          <w:szCs w:val="22"/>
        </w:rPr>
        <w:t xml:space="preserve"> notificación personal a la </w:t>
      </w:r>
      <w:r w:rsidR="00C15949">
        <w:rPr>
          <w:rFonts w:ascii="Arial" w:hAnsi="Arial" w:cs="Arial"/>
          <w:sz w:val="22"/>
          <w:szCs w:val="22"/>
        </w:rPr>
        <w:t>Calle 63 No 30-10</w:t>
      </w:r>
      <w:r w:rsidR="00C15949" w:rsidRPr="001C0BEF">
        <w:rPr>
          <w:rFonts w:ascii="Arial" w:hAnsi="Arial" w:cs="Arial"/>
          <w:sz w:val="22"/>
          <w:szCs w:val="22"/>
        </w:rPr>
        <w:t xml:space="preserve"> de la ciudad de Bogotá, o en su defecto</w:t>
      </w:r>
      <w:r w:rsidR="00C15949" w:rsidRPr="001C0BEF">
        <w:rPr>
          <w:rFonts w:ascii="Arial" w:hAnsi="Arial" w:cs="Arial"/>
          <w:b/>
          <w:bCs/>
          <w:sz w:val="22"/>
          <w:szCs w:val="22"/>
        </w:rPr>
        <w:t> </w:t>
      </w:r>
      <w:r w:rsidR="00C15949" w:rsidRPr="001C0BEF">
        <w:rPr>
          <w:rFonts w:ascii="Arial" w:hAnsi="Arial" w:cs="Arial"/>
          <w:sz w:val="22"/>
          <w:szCs w:val="22"/>
        </w:rPr>
        <w:t>de conformidad con las normas de notificación establecidas en la  ley 1437 de 2011.</w:t>
      </w:r>
    </w:p>
    <w:p w14:paraId="2F94D915" w14:textId="77777777" w:rsidR="00C15949" w:rsidRPr="008D5937" w:rsidRDefault="00C15949" w:rsidP="003A2C21">
      <w:pPr>
        <w:jc w:val="both"/>
        <w:rPr>
          <w:rFonts w:ascii="Arial" w:hAnsi="Arial" w:cs="Arial"/>
          <w:bCs/>
          <w:sz w:val="22"/>
          <w:szCs w:val="22"/>
          <w:shd w:val="clear" w:color="auto" w:fill="FFFFFF"/>
        </w:rPr>
      </w:pPr>
    </w:p>
    <w:p w14:paraId="392EF0CE" w14:textId="3A9F8797" w:rsidR="003A2C21" w:rsidRPr="008D5937" w:rsidRDefault="003A2C21" w:rsidP="003A2C21">
      <w:pPr>
        <w:jc w:val="both"/>
        <w:rPr>
          <w:rFonts w:ascii="Arial" w:hAnsi="Arial" w:cs="Arial"/>
          <w:sz w:val="22"/>
          <w:szCs w:val="22"/>
          <w:lang w:eastAsia="es-CO"/>
        </w:rPr>
      </w:pPr>
      <w:r w:rsidRPr="008D5937">
        <w:rPr>
          <w:rFonts w:ascii="Arial" w:hAnsi="Arial" w:cs="Arial"/>
          <w:b/>
          <w:sz w:val="22"/>
          <w:szCs w:val="22"/>
        </w:rPr>
        <w:t>ARTÍCULO QUINTO</w:t>
      </w:r>
      <w:r w:rsidRPr="008D5937">
        <w:rPr>
          <w:rFonts w:ascii="Arial" w:hAnsi="Arial" w:cs="Arial"/>
          <w:sz w:val="22"/>
          <w:szCs w:val="22"/>
        </w:rPr>
        <w:t xml:space="preserve">: </w:t>
      </w:r>
      <w:r w:rsidR="00D005E0">
        <w:rPr>
          <w:rFonts w:ascii="Arial" w:hAnsi="Arial" w:cs="Arial"/>
          <w:sz w:val="22"/>
          <w:szCs w:val="22"/>
          <w:lang w:val="es"/>
        </w:rPr>
        <w:t>Comunicar</w:t>
      </w:r>
      <w:r w:rsidR="00D005E0" w:rsidRPr="003E7F2B">
        <w:rPr>
          <w:rFonts w:ascii="Arial" w:hAnsi="Arial" w:cs="Arial"/>
          <w:sz w:val="22"/>
          <w:szCs w:val="22"/>
          <w:lang w:val="es"/>
        </w:rPr>
        <w:t xml:space="preserve"> el contenido de esta Resolución a</w:t>
      </w:r>
      <w:r w:rsidR="00D005E0">
        <w:rPr>
          <w:rFonts w:ascii="Arial" w:hAnsi="Arial" w:cs="Arial"/>
          <w:sz w:val="22"/>
          <w:szCs w:val="22"/>
          <w:lang w:val="es"/>
        </w:rPr>
        <w:t>l propietario</w:t>
      </w:r>
      <w:r w:rsidR="00D005E0" w:rsidRPr="003E7F2B">
        <w:rPr>
          <w:rFonts w:ascii="Arial" w:hAnsi="Arial" w:cs="Arial"/>
          <w:sz w:val="22"/>
          <w:szCs w:val="22"/>
          <w:lang w:val="es"/>
        </w:rPr>
        <w:t xml:space="preserve"> </w:t>
      </w:r>
      <w:r w:rsidR="00D005E0">
        <w:rPr>
          <w:rFonts w:ascii="Arial" w:hAnsi="Arial" w:cs="Arial"/>
          <w:color w:val="000000"/>
          <w:sz w:val="22"/>
          <w:szCs w:val="22"/>
          <w:lang w:val="es"/>
        </w:rPr>
        <w:t xml:space="preserve">del Apartamento </w:t>
      </w:r>
      <w:r w:rsidR="00D005E0" w:rsidRPr="001F0FF1">
        <w:rPr>
          <w:rFonts w:ascii="Arial" w:hAnsi="Arial" w:cs="Arial"/>
          <w:color w:val="000000"/>
          <w:sz w:val="22"/>
          <w:szCs w:val="22"/>
        </w:rPr>
        <w:t xml:space="preserve">5071 torre 18 del proyecto de vivienda </w:t>
      </w:r>
      <w:r w:rsidR="00B659F1">
        <w:rPr>
          <w:rFonts w:ascii="Arial" w:hAnsi="Arial" w:cs="Arial"/>
          <w:color w:val="000000"/>
          <w:sz w:val="22"/>
          <w:szCs w:val="22"/>
        </w:rPr>
        <w:t>EDIFICIO SAN NICOLAS PLAZA - PROPIEDAD HORIZONTAL</w:t>
      </w:r>
      <w:r w:rsidR="00D005E0">
        <w:rPr>
          <w:rFonts w:ascii="Arial" w:hAnsi="Arial" w:cs="Arial"/>
          <w:color w:val="000000"/>
          <w:sz w:val="22"/>
          <w:szCs w:val="22"/>
          <w:lang w:val="es"/>
        </w:rPr>
        <w:t xml:space="preserve">, en la </w:t>
      </w:r>
      <w:r w:rsidR="00CB4DED">
        <w:rPr>
          <w:rFonts w:ascii="Arial" w:hAnsi="Arial" w:cs="Arial"/>
          <w:color w:val="000000"/>
          <w:sz w:val="22"/>
          <w:szCs w:val="22"/>
        </w:rPr>
        <w:t>Carrera 38 No. 56 - 47</w:t>
      </w:r>
      <w:r w:rsidR="00CB4DED" w:rsidRPr="001F0FF1">
        <w:rPr>
          <w:rFonts w:ascii="Arial" w:hAnsi="Arial" w:cs="Arial"/>
          <w:color w:val="000000"/>
          <w:sz w:val="22"/>
          <w:szCs w:val="22"/>
        </w:rPr>
        <w:t xml:space="preserve"> de esta ciudad</w:t>
      </w:r>
      <w:r w:rsidR="00D005E0">
        <w:rPr>
          <w:rFonts w:ascii="Arial" w:hAnsi="Arial" w:cs="Arial"/>
          <w:color w:val="000000"/>
          <w:sz w:val="22"/>
          <w:szCs w:val="22"/>
          <w:lang w:val="es"/>
        </w:rPr>
        <w:t xml:space="preserve">; </w:t>
      </w:r>
      <w:r w:rsidR="00D005E0" w:rsidRPr="007765A8">
        <w:rPr>
          <w:rFonts w:ascii="Arial" w:hAnsi="Arial" w:cs="Arial"/>
          <w:sz w:val="22"/>
          <w:szCs w:val="22"/>
          <w:lang w:val="es"/>
        </w:rPr>
        <w:t>o</w:t>
      </w:r>
      <w:r w:rsidR="00D005E0">
        <w:rPr>
          <w:rFonts w:ascii="Arial" w:hAnsi="Arial" w:cs="Arial"/>
          <w:sz w:val="22"/>
          <w:szCs w:val="22"/>
          <w:lang w:val="es"/>
        </w:rPr>
        <w:t>,</w:t>
      </w:r>
      <w:r w:rsidR="00D005E0" w:rsidRPr="007765A8">
        <w:rPr>
          <w:rFonts w:ascii="Arial" w:hAnsi="Arial" w:cs="Arial"/>
          <w:sz w:val="22"/>
          <w:szCs w:val="22"/>
          <w:lang w:val="es"/>
        </w:rPr>
        <w:t xml:space="preserve"> en su defecto, de conformidad con las normas de notificación previstas en la Ley 1437 de 2011</w:t>
      </w:r>
      <w:r w:rsidRPr="008D5937">
        <w:rPr>
          <w:rFonts w:ascii="Arial" w:hAnsi="Arial" w:cs="Arial"/>
          <w:sz w:val="22"/>
          <w:szCs w:val="22"/>
          <w:lang w:eastAsia="es-CO"/>
        </w:rPr>
        <w:t>.</w:t>
      </w:r>
    </w:p>
    <w:p w14:paraId="58D8E7A0" w14:textId="77777777" w:rsidR="003A2C21" w:rsidRPr="008D5937" w:rsidRDefault="003A2C21" w:rsidP="003A2C21">
      <w:pPr>
        <w:pStyle w:val="chalo"/>
        <w:rPr>
          <w:rFonts w:ascii="Arial" w:hAnsi="Arial" w:cs="Arial"/>
          <w:sz w:val="22"/>
          <w:szCs w:val="22"/>
          <w:lang w:eastAsia="es-CO"/>
        </w:rPr>
      </w:pPr>
    </w:p>
    <w:p w14:paraId="143AC855" w14:textId="77777777" w:rsidR="003A2C21" w:rsidRPr="008D5937" w:rsidRDefault="003A2C21" w:rsidP="003A2C21">
      <w:pPr>
        <w:jc w:val="both"/>
        <w:rPr>
          <w:rFonts w:ascii="Arial" w:hAnsi="Arial" w:cs="Arial"/>
          <w:sz w:val="22"/>
          <w:szCs w:val="22"/>
        </w:rPr>
      </w:pPr>
      <w:r w:rsidRPr="008D5937">
        <w:rPr>
          <w:rFonts w:ascii="Arial" w:hAnsi="Arial" w:cs="Arial"/>
          <w:b/>
          <w:sz w:val="22"/>
          <w:szCs w:val="22"/>
        </w:rPr>
        <w:t>ARTÍCULO SEXTO</w:t>
      </w:r>
      <w:r w:rsidRPr="008D5937">
        <w:rPr>
          <w:rFonts w:ascii="Arial" w:hAnsi="Arial" w:cs="Arial"/>
          <w:sz w:val="22"/>
          <w:szCs w:val="22"/>
        </w:rPr>
        <w:t xml:space="preserve">: </w:t>
      </w:r>
      <w:r w:rsidRPr="008D5937">
        <w:rPr>
          <w:rFonts w:ascii="Arial" w:hAnsi="Arial" w:cs="Arial"/>
          <w:sz w:val="22"/>
          <w:szCs w:val="22"/>
          <w:lang w:eastAsia="es-CO"/>
        </w:rPr>
        <w:t>La presente Resolución rige a partir de su expedición.</w:t>
      </w:r>
    </w:p>
    <w:p w14:paraId="2E242B3D" w14:textId="77777777" w:rsidR="003A2C21" w:rsidRDefault="003A2C21" w:rsidP="003A2C21">
      <w:pPr>
        <w:pStyle w:val="chalo"/>
        <w:rPr>
          <w:rFonts w:ascii="Arial" w:hAnsi="Arial" w:cs="Arial"/>
          <w:sz w:val="22"/>
          <w:szCs w:val="22"/>
          <w:lang w:val="es-ES_tradnl"/>
        </w:rPr>
      </w:pPr>
    </w:p>
    <w:p w14:paraId="3C9B8C24" w14:textId="77777777" w:rsidR="003A2C21" w:rsidRPr="008D5937" w:rsidRDefault="003A2C21" w:rsidP="003A2C21">
      <w:pPr>
        <w:pStyle w:val="chalo"/>
        <w:rPr>
          <w:rFonts w:ascii="Arial" w:hAnsi="Arial" w:cs="Arial"/>
          <w:sz w:val="22"/>
          <w:szCs w:val="22"/>
          <w:lang w:val="es-ES_tradnl"/>
        </w:rPr>
      </w:pPr>
    </w:p>
    <w:p w14:paraId="365C17C5" w14:textId="77777777" w:rsidR="003A2C21" w:rsidRPr="008D5937" w:rsidRDefault="003A2C21" w:rsidP="003A2C21">
      <w:pPr>
        <w:pStyle w:val="chalo"/>
        <w:jc w:val="center"/>
        <w:rPr>
          <w:rFonts w:ascii="Arial" w:hAnsi="Arial" w:cs="Arial"/>
          <w:b/>
          <w:bCs/>
          <w:sz w:val="22"/>
          <w:szCs w:val="22"/>
        </w:rPr>
      </w:pPr>
      <w:r w:rsidRPr="008D5937">
        <w:rPr>
          <w:rFonts w:ascii="Arial" w:hAnsi="Arial" w:cs="Arial"/>
          <w:b/>
          <w:bCs/>
          <w:sz w:val="22"/>
          <w:szCs w:val="22"/>
          <w:lang w:eastAsia="es-CO"/>
        </w:rPr>
        <w:t>NOTIFÍQUESE, COMUNÍQUESE Y CÚMPLASE</w:t>
      </w:r>
    </w:p>
    <w:p w14:paraId="18CCCEFB" w14:textId="77777777" w:rsidR="003A2C21" w:rsidRDefault="003A2C21" w:rsidP="003A2C21">
      <w:pPr>
        <w:jc w:val="center"/>
        <w:rPr>
          <w:rFonts w:ascii="Arial" w:hAnsi="Arial" w:cs="Arial"/>
          <w:b/>
          <w:bCs/>
          <w:sz w:val="22"/>
          <w:szCs w:val="22"/>
        </w:rPr>
      </w:pPr>
    </w:p>
    <w:p w14:paraId="314BD4BC" w14:textId="77777777" w:rsidR="00E31CC5" w:rsidRDefault="00E31CC5" w:rsidP="003A2C21">
      <w:pPr>
        <w:jc w:val="center"/>
        <w:rPr>
          <w:rFonts w:ascii="Arial" w:hAnsi="Arial" w:cs="Arial"/>
          <w:b/>
          <w:bCs/>
          <w:sz w:val="22"/>
          <w:szCs w:val="22"/>
        </w:rPr>
      </w:pPr>
    </w:p>
    <w:p w14:paraId="042D31AE" w14:textId="77777777" w:rsidR="003A2C21" w:rsidRPr="008D5937" w:rsidRDefault="003A2C21" w:rsidP="003A2C21">
      <w:pPr>
        <w:jc w:val="center"/>
        <w:rPr>
          <w:rFonts w:ascii="Arial" w:hAnsi="Arial" w:cs="Arial"/>
          <w:b/>
          <w:bCs/>
          <w:sz w:val="22"/>
          <w:szCs w:val="22"/>
        </w:rPr>
      </w:pPr>
    </w:p>
    <w:p w14:paraId="54D7800E" w14:textId="77777777" w:rsidR="003A2C21" w:rsidRPr="008D5937" w:rsidRDefault="003A2C21" w:rsidP="003A2C21">
      <w:pPr>
        <w:jc w:val="center"/>
        <w:rPr>
          <w:rFonts w:ascii="Arial" w:hAnsi="Arial" w:cs="Arial"/>
          <w:b/>
          <w:bCs/>
          <w:sz w:val="22"/>
          <w:szCs w:val="22"/>
        </w:rPr>
      </w:pPr>
    </w:p>
    <w:p w14:paraId="6A587A7E" w14:textId="77777777" w:rsidR="003A2C21" w:rsidRPr="008D5937" w:rsidRDefault="003A2C21" w:rsidP="003A2C21">
      <w:pPr>
        <w:jc w:val="center"/>
        <w:rPr>
          <w:rFonts w:ascii="Arial" w:eastAsiaTheme="minorHAnsi" w:hAnsi="Arial" w:cs="Arial"/>
          <w:b/>
          <w:sz w:val="22"/>
          <w:szCs w:val="22"/>
          <w:lang w:val="es-CO" w:eastAsia="en-US"/>
        </w:rPr>
      </w:pPr>
      <w:r w:rsidRPr="008D5937">
        <w:rPr>
          <w:rFonts w:ascii="Arial" w:eastAsiaTheme="minorHAnsi" w:hAnsi="Arial" w:cs="Arial"/>
          <w:b/>
          <w:sz w:val="22"/>
          <w:szCs w:val="22"/>
          <w:lang w:val="es-CO" w:eastAsia="en-US"/>
        </w:rPr>
        <w:t>JAZMÍN ROC</w:t>
      </w:r>
      <w:r>
        <w:rPr>
          <w:rFonts w:ascii="Arial" w:eastAsiaTheme="minorHAnsi" w:hAnsi="Arial" w:cs="Arial"/>
          <w:b/>
          <w:sz w:val="22"/>
          <w:szCs w:val="22"/>
          <w:lang w:val="es-CO" w:eastAsia="en-US"/>
        </w:rPr>
        <w:t>Í</w:t>
      </w:r>
      <w:r w:rsidRPr="008D5937">
        <w:rPr>
          <w:rFonts w:ascii="Arial" w:eastAsiaTheme="minorHAnsi" w:hAnsi="Arial" w:cs="Arial"/>
          <w:b/>
          <w:sz w:val="22"/>
          <w:szCs w:val="22"/>
          <w:lang w:val="es-CO" w:eastAsia="en-US"/>
        </w:rPr>
        <w:t>O OROZCO RODR</w:t>
      </w:r>
      <w:r>
        <w:rPr>
          <w:rFonts w:ascii="Arial" w:eastAsiaTheme="minorHAnsi" w:hAnsi="Arial" w:cs="Arial"/>
          <w:b/>
          <w:sz w:val="22"/>
          <w:szCs w:val="22"/>
          <w:lang w:val="es-CO" w:eastAsia="en-US"/>
        </w:rPr>
        <w:t>Í</w:t>
      </w:r>
      <w:r w:rsidRPr="008D5937">
        <w:rPr>
          <w:rFonts w:ascii="Arial" w:eastAsiaTheme="minorHAnsi" w:hAnsi="Arial" w:cs="Arial"/>
          <w:b/>
          <w:sz w:val="22"/>
          <w:szCs w:val="22"/>
          <w:lang w:val="es-CO" w:eastAsia="en-US"/>
        </w:rPr>
        <w:t>GUEZ</w:t>
      </w:r>
    </w:p>
    <w:p w14:paraId="5F6012B5" w14:textId="6BB7D47B" w:rsidR="003A2C21" w:rsidRPr="008D5937" w:rsidRDefault="00E31CC5" w:rsidP="003A2C21">
      <w:pPr>
        <w:jc w:val="center"/>
        <w:rPr>
          <w:rFonts w:ascii="Arial" w:hAnsi="Arial" w:cs="Arial"/>
          <w:i/>
          <w:sz w:val="22"/>
          <w:szCs w:val="22"/>
          <w:lang w:val="es-CO"/>
        </w:rPr>
      </w:pPr>
      <w:r>
        <w:rPr>
          <w:rFonts w:ascii="Arial" w:eastAsiaTheme="minorHAnsi" w:hAnsi="Arial" w:cs="Arial"/>
          <w:b/>
          <w:sz w:val="22"/>
          <w:szCs w:val="22"/>
          <w:lang w:val="es-CO" w:eastAsia="en-US"/>
        </w:rPr>
        <w:t>Directora</w:t>
      </w:r>
      <w:r w:rsidR="003A2C21" w:rsidRPr="008D5937">
        <w:rPr>
          <w:rFonts w:ascii="Arial" w:eastAsiaTheme="minorHAnsi" w:hAnsi="Arial" w:cs="Arial"/>
          <w:b/>
          <w:sz w:val="22"/>
          <w:szCs w:val="22"/>
          <w:lang w:val="es-CO" w:eastAsia="en-US"/>
        </w:rPr>
        <w:t xml:space="preserve"> de Investigaciones y Control de Vivienda</w:t>
      </w:r>
    </w:p>
    <w:p w14:paraId="03BA88EB" w14:textId="77777777" w:rsidR="003A2C21" w:rsidRPr="005E2D6B" w:rsidRDefault="003A2C21" w:rsidP="003A2C21">
      <w:pPr>
        <w:rPr>
          <w:rFonts w:ascii="Arial" w:hAnsi="Arial" w:cs="Arial"/>
          <w:i/>
          <w:sz w:val="22"/>
          <w:szCs w:val="22"/>
          <w:lang w:val="es-CO"/>
        </w:rPr>
      </w:pPr>
    </w:p>
    <w:p w14:paraId="262346B6" w14:textId="6608B281" w:rsidR="003A2C21" w:rsidRPr="004A7D07" w:rsidRDefault="003A2C21" w:rsidP="003A2C21">
      <w:pPr>
        <w:rPr>
          <w:rFonts w:ascii="Arial" w:hAnsi="Arial" w:cs="Arial"/>
          <w:i/>
          <w:sz w:val="16"/>
          <w:szCs w:val="16"/>
          <w:lang w:val="es-CO"/>
        </w:rPr>
      </w:pPr>
      <w:r w:rsidRPr="004A7D07">
        <w:rPr>
          <w:rFonts w:ascii="Arial" w:hAnsi="Arial" w:cs="Arial"/>
          <w:i/>
          <w:sz w:val="16"/>
          <w:szCs w:val="16"/>
          <w:lang w:val="es-CO"/>
        </w:rPr>
        <w:t xml:space="preserve">Proyectó: </w:t>
      </w:r>
      <w:r w:rsidR="00CB4DED">
        <w:rPr>
          <w:rFonts w:ascii="Arial" w:hAnsi="Arial" w:cs="Arial"/>
          <w:i/>
          <w:sz w:val="16"/>
          <w:szCs w:val="16"/>
          <w:lang w:val="es-CO"/>
        </w:rPr>
        <w:t xml:space="preserve">Mauricio Hernández Beltrán </w:t>
      </w:r>
      <w:r w:rsidRPr="004A7D07">
        <w:rPr>
          <w:rFonts w:ascii="Arial" w:hAnsi="Arial" w:cs="Arial"/>
          <w:i/>
          <w:sz w:val="16"/>
          <w:szCs w:val="16"/>
          <w:lang w:val="es-CO"/>
        </w:rPr>
        <w:t>- Contratista SICV.</w:t>
      </w:r>
    </w:p>
    <w:p w14:paraId="325C7575" w14:textId="71DB5654" w:rsidR="003A2C21" w:rsidRPr="004A7D07" w:rsidRDefault="003A2C21" w:rsidP="003A2C21">
      <w:pPr>
        <w:rPr>
          <w:rFonts w:ascii="Arial" w:hAnsi="Arial" w:cs="Arial"/>
          <w:i/>
          <w:sz w:val="16"/>
          <w:szCs w:val="16"/>
          <w:lang w:val="es-CO"/>
        </w:rPr>
      </w:pPr>
      <w:r w:rsidRPr="004A7D07">
        <w:rPr>
          <w:rFonts w:ascii="Arial" w:hAnsi="Arial" w:cs="Arial"/>
          <w:i/>
          <w:sz w:val="16"/>
          <w:szCs w:val="16"/>
          <w:lang w:val="es-CO"/>
        </w:rPr>
        <w:t>Revisó</w:t>
      </w:r>
      <w:r w:rsidR="00E31CC5">
        <w:rPr>
          <w:rFonts w:ascii="Arial" w:hAnsi="Arial" w:cs="Arial"/>
          <w:i/>
          <w:sz w:val="16"/>
          <w:szCs w:val="16"/>
          <w:lang w:val="es-CO"/>
        </w:rPr>
        <w:t xml:space="preserve">: </w:t>
      </w:r>
      <w:r w:rsidR="00324FB3">
        <w:rPr>
          <w:rFonts w:ascii="Arial" w:hAnsi="Arial" w:cs="Arial"/>
          <w:i/>
          <w:sz w:val="16"/>
          <w:szCs w:val="16"/>
          <w:lang w:val="es-CO"/>
        </w:rPr>
        <w:t>Juan José Corredor Cabuya</w:t>
      </w:r>
      <w:r w:rsidRPr="004A7D07">
        <w:rPr>
          <w:rFonts w:ascii="Arial" w:hAnsi="Arial" w:cs="Arial"/>
          <w:i/>
          <w:sz w:val="16"/>
          <w:szCs w:val="16"/>
          <w:lang w:val="es-CO"/>
        </w:rPr>
        <w:t xml:space="preserve"> - </w:t>
      </w:r>
      <w:r w:rsidR="00324FB3">
        <w:rPr>
          <w:rFonts w:ascii="Arial" w:hAnsi="Arial" w:cs="Arial"/>
          <w:i/>
          <w:sz w:val="16"/>
          <w:szCs w:val="16"/>
          <w:lang w:val="es-CO"/>
        </w:rPr>
        <w:t>Profesional</w:t>
      </w:r>
      <w:r w:rsidRPr="004A7D07">
        <w:rPr>
          <w:rFonts w:ascii="Arial" w:hAnsi="Arial" w:cs="Arial"/>
          <w:i/>
          <w:sz w:val="16"/>
          <w:szCs w:val="16"/>
          <w:lang w:val="es-CO"/>
        </w:rPr>
        <w:t xml:space="preserve"> </w:t>
      </w:r>
      <w:r w:rsidR="00C15949">
        <w:rPr>
          <w:rFonts w:ascii="Arial" w:hAnsi="Arial" w:cs="Arial"/>
          <w:i/>
          <w:sz w:val="16"/>
          <w:szCs w:val="16"/>
          <w:lang w:val="es-CO"/>
        </w:rPr>
        <w:t xml:space="preserve">Especializado </w:t>
      </w:r>
      <w:r w:rsidRPr="004A7D07">
        <w:rPr>
          <w:rFonts w:ascii="Arial" w:hAnsi="Arial" w:cs="Arial"/>
          <w:i/>
          <w:sz w:val="16"/>
          <w:szCs w:val="16"/>
          <w:lang w:val="es-CO"/>
        </w:rPr>
        <w:t>SICV.</w:t>
      </w:r>
    </w:p>
    <w:p w14:paraId="2E6900CF" w14:textId="230CD3AE" w:rsidR="0088181D" w:rsidRPr="003A2C21" w:rsidRDefault="0088181D" w:rsidP="003A2C21"/>
    <w:sectPr w:rsidR="0088181D" w:rsidRPr="003A2C21" w:rsidSect="00C11726">
      <w:headerReference w:type="default" r:id="rId7"/>
      <w:footerReference w:type="even" r:id="rId8"/>
      <w:footerReference w:type="default" r:id="rId9"/>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9D0A9" w14:textId="77777777" w:rsidR="00AF10C5" w:rsidRDefault="00AF10C5" w:rsidP="00CD44E5">
      <w:r>
        <w:separator/>
      </w:r>
    </w:p>
  </w:endnote>
  <w:endnote w:type="continuationSeparator" w:id="0">
    <w:p w14:paraId="5552F0B5" w14:textId="77777777" w:rsidR="00AF10C5" w:rsidRDefault="00AF10C5"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lang w:eastAsia="es-CO"/>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009B0877" w:rsidRPr="009B0877">
          <w:rPr>
            <w:rStyle w:val="Nmerodepgina"/>
            <w:b/>
            <w:bCs/>
            <w:noProof/>
            <w:sz w:val="20"/>
            <w:szCs w:val="20"/>
            <w:lang w:val="es-ES"/>
          </w:rPr>
          <w:t>23</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009B0877" w:rsidRPr="009B0877">
          <w:rPr>
            <w:rStyle w:val="Nmerodepgina"/>
            <w:b/>
            <w:bCs/>
            <w:noProof/>
            <w:sz w:val="20"/>
            <w:szCs w:val="20"/>
            <w:lang w:val="es-ES"/>
          </w:rPr>
          <w:t>23</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eastAsia="es-CO"/>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B659F1" w:rsidRDefault="00F34648" w:rsidP="00F34648">
    <w:pPr>
      <w:pStyle w:val="Piedepgina"/>
      <w:rPr>
        <w:rFonts w:ascii="Arial" w:hAnsi="Arial" w:cs="Arial"/>
        <w:sz w:val="16"/>
        <w:szCs w:val="16"/>
        <w:lang w:val="pt-PT"/>
      </w:rPr>
    </w:pPr>
    <w:r w:rsidRPr="00B659F1">
      <w:rPr>
        <w:rFonts w:ascii="Arial" w:hAnsi="Arial" w:cs="Arial"/>
        <w:sz w:val="16"/>
        <w:szCs w:val="16"/>
        <w:lang w:val="pt-PT"/>
      </w:rPr>
      <w:t xml:space="preserve">Código Postal: 110231 </w:t>
    </w:r>
  </w:p>
  <w:p w14:paraId="2356DEB3" w14:textId="717709C1" w:rsidR="00F34648" w:rsidRPr="00B659F1" w:rsidRDefault="00F34648" w:rsidP="00F34648">
    <w:pPr>
      <w:pStyle w:val="Piedepgina"/>
      <w:rPr>
        <w:rFonts w:ascii="Arial" w:hAnsi="Arial" w:cs="Arial"/>
        <w:sz w:val="16"/>
        <w:szCs w:val="16"/>
        <w:lang w:val="pt-PT"/>
      </w:rPr>
    </w:pPr>
    <w:hyperlink r:id="rId2" w:history="1">
      <w:r w:rsidRPr="00B659F1">
        <w:rPr>
          <w:rStyle w:val="Hipervnculo"/>
          <w:rFonts w:ascii="Arial" w:hAnsi="Arial" w:cs="Arial"/>
          <w:sz w:val="16"/>
          <w:szCs w:val="16"/>
          <w:lang w:val="pt-PT"/>
        </w:rPr>
        <w:t>www.habitatbogota.gov.co</w:t>
      </w:r>
    </w:hyperlink>
    <w:r w:rsidRPr="00B659F1">
      <w:rPr>
        <w:rFonts w:ascii="Arial" w:hAnsi="Arial" w:cs="Arial"/>
        <w:sz w:val="16"/>
        <w:szCs w:val="16"/>
        <w:lang w:val="pt-PT"/>
      </w:rPr>
      <w:t xml:space="preserve">                 </w:t>
    </w:r>
  </w:p>
  <w:p w14:paraId="331AAB75" w14:textId="56AA3139" w:rsidR="00F34648" w:rsidRPr="00B659F1" w:rsidRDefault="00F34648" w:rsidP="00F34648">
    <w:pPr>
      <w:pStyle w:val="Piedepgina"/>
      <w:rPr>
        <w:sz w:val="16"/>
        <w:szCs w:val="16"/>
        <w:lang w:val="pt-PT"/>
      </w:rPr>
    </w:pPr>
  </w:p>
  <w:p w14:paraId="6E6E13F9" w14:textId="577D4FA4" w:rsidR="006257B3" w:rsidRPr="00B659F1" w:rsidRDefault="006257B3" w:rsidP="0088181D">
    <w:pPr>
      <w:pStyle w:val="Piedepgina"/>
      <w:ind w:right="360"/>
      <w:rPr>
        <w:lang w:val="pt-PT"/>
      </w:rPr>
    </w:pPr>
  </w:p>
  <w:p w14:paraId="10013A36" w14:textId="4DE8D53C" w:rsidR="00CD44E5" w:rsidRPr="00B659F1" w:rsidRDefault="00E40EF8">
    <w:pPr>
      <w:pStyle w:val="Piedepgina"/>
      <w:rPr>
        <w:lang w:val="pt-PT"/>
      </w:rPr>
    </w:pPr>
    <w:r w:rsidRPr="00B659F1">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73EFA" w14:textId="77777777" w:rsidR="00AF10C5" w:rsidRDefault="00AF10C5" w:rsidP="00CD44E5">
      <w:r>
        <w:separator/>
      </w:r>
    </w:p>
  </w:footnote>
  <w:footnote w:type="continuationSeparator" w:id="0">
    <w:p w14:paraId="5A70244D" w14:textId="77777777" w:rsidR="00AF10C5" w:rsidRDefault="00AF10C5" w:rsidP="00CD44E5">
      <w:r>
        <w:continuationSeparator/>
      </w:r>
    </w:p>
  </w:footnote>
  <w:footnote w:id="1">
    <w:p w14:paraId="2012CBF8" w14:textId="77777777" w:rsidR="003A2C21" w:rsidRPr="00057E87" w:rsidRDefault="003A2C21" w:rsidP="003A2C21">
      <w:pPr>
        <w:pStyle w:val="Sinespaciado"/>
        <w:jc w:val="both"/>
        <w:rPr>
          <w:sz w:val="14"/>
          <w:szCs w:val="14"/>
        </w:rPr>
      </w:pPr>
      <w:r w:rsidRPr="00A34AB7">
        <w:rPr>
          <w:rStyle w:val="Refdenotaalpie"/>
          <w:sz w:val="14"/>
          <w:szCs w:val="14"/>
        </w:rPr>
        <w:footnoteRef/>
      </w:r>
      <w:r w:rsidRPr="00057E87">
        <w:rPr>
          <w:b/>
          <w:bCs/>
          <w:sz w:val="14"/>
          <w:szCs w:val="14"/>
        </w:rPr>
        <w:t xml:space="preserve">Artículo 76. </w:t>
      </w:r>
      <w:r w:rsidRPr="00057E87">
        <w:rPr>
          <w:b/>
          <w:bCs/>
          <w:iCs/>
          <w:sz w:val="14"/>
          <w:szCs w:val="14"/>
        </w:rPr>
        <w:t xml:space="preserve">OPORTUNIDAD Y PRESENTACIÓN. </w:t>
      </w:r>
      <w:r w:rsidRPr="00057E87">
        <w:rPr>
          <w:sz w:val="14"/>
          <w:szCs w:val="14"/>
        </w:rPr>
        <w:t xml:space="preserve">Los recursos de reposición y apelación deberán interponerse por escrito en la diligencia de notificación personal, o dentro de los diez (10) días siguientes a ella, o a la notificación por aviso, o al vencimiento del término de publicación, según el caso. Los recursos contra los actos presuntos podrán interponerse en cualquier tiempo, salvo en el evento en que se haya acudido ante el juez. </w:t>
      </w:r>
    </w:p>
    <w:p w14:paraId="0C27A0FE" w14:textId="77777777" w:rsidR="003A2C21" w:rsidRPr="00057E87" w:rsidRDefault="003A2C21" w:rsidP="003A2C21">
      <w:pPr>
        <w:pStyle w:val="Sinespaciado"/>
        <w:jc w:val="both"/>
        <w:rPr>
          <w:sz w:val="14"/>
          <w:szCs w:val="14"/>
        </w:rPr>
      </w:pPr>
      <w:r w:rsidRPr="00057E87">
        <w:rPr>
          <w:sz w:val="14"/>
          <w:szCs w:val="14"/>
        </w:rPr>
        <w:t>Los recursos se presentarán ante el funcionario que dictó la decisión, salvo lo dispuesto para el de queja, y si quien fuere competente no quisiere recibirlos podrán presentarse ante el procurador regional o ante el personero municipal, para que ordene recibirlos y tramitarlos, e imponga las sanciones correspondientes, si a ello hubiere lugar.</w:t>
      </w:r>
    </w:p>
    <w:p w14:paraId="6757F714" w14:textId="77777777" w:rsidR="003A2C21" w:rsidRPr="00057E87" w:rsidRDefault="003A2C21" w:rsidP="003A2C21">
      <w:pPr>
        <w:pStyle w:val="Sinespaciado"/>
        <w:jc w:val="both"/>
        <w:rPr>
          <w:sz w:val="14"/>
          <w:szCs w:val="14"/>
        </w:rPr>
      </w:pPr>
      <w:r w:rsidRPr="00057E87">
        <w:rPr>
          <w:sz w:val="14"/>
          <w:szCs w:val="14"/>
        </w:rPr>
        <w:t xml:space="preserve">El recurso de apelación podrá interponerse directamente, o como subsidiario del de reposición y cuando proceda será obligatorio para acceder a la jurisdicción. </w:t>
      </w:r>
    </w:p>
    <w:p w14:paraId="34AEAD0F" w14:textId="77777777" w:rsidR="003A2C21" w:rsidRPr="00057E87" w:rsidRDefault="003A2C21" w:rsidP="003A2C21">
      <w:pPr>
        <w:pStyle w:val="Sinespaciado"/>
        <w:jc w:val="both"/>
        <w:rPr>
          <w:sz w:val="14"/>
          <w:szCs w:val="14"/>
        </w:rPr>
      </w:pPr>
      <w:r w:rsidRPr="00057E87">
        <w:rPr>
          <w:sz w:val="14"/>
          <w:szCs w:val="14"/>
        </w:rPr>
        <w:t>Los recursos de reposición y de queja no serán obligatorios.</w:t>
      </w:r>
    </w:p>
  </w:footnote>
  <w:footnote w:id="2">
    <w:p w14:paraId="2C31D66B" w14:textId="77777777" w:rsidR="003A2C21" w:rsidRPr="00B659F1" w:rsidRDefault="003A2C21" w:rsidP="003A2C21">
      <w:pPr>
        <w:pStyle w:val="Textonotapie"/>
        <w:rPr>
          <w:lang w:val="pt-PT"/>
        </w:rPr>
      </w:pPr>
      <w:r>
        <w:rPr>
          <w:rStyle w:val="Refdenotaalpie"/>
        </w:rPr>
        <w:footnoteRef/>
      </w:r>
      <w:r w:rsidRPr="00B659F1">
        <w:rPr>
          <w:lang w:val="pt-PT"/>
        </w:rPr>
        <w:t xml:space="preserve"> </w:t>
      </w:r>
      <w:r w:rsidRPr="00B659F1">
        <w:rPr>
          <w:sz w:val="16"/>
          <w:szCs w:val="16"/>
          <w:lang w:val="pt-PT"/>
        </w:rPr>
        <w:t xml:space="preserve"> Corte Constitucional, </w:t>
      </w:r>
      <w:r w:rsidRPr="00B659F1">
        <w:rPr>
          <w:color w:val="000000"/>
          <w:sz w:val="16"/>
          <w:szCs w:val="16"/>
          <w:lang w:val="pt-PT" w:eastAsia="es-CO"/>
        </w:rPr>
        <w:t>Sentencia C-564 de 2000.</w:t>
      </w:r>
    </w:p>
  </w:footnote>
  <w:footnote w:id="3">
    <w:p w14:paraId="0EFB82AB" w14:textId="77777777" w:rsidR="003A2C21" w:rsidRPr="00B659F1" w:rsidRDefault="003A2C21" w:rsidP="003A2C21">
      <w:pPr>
        <w:pStyle w:val="Textonotapie"/>
        <w:rPr>
          <w:sz w:val="16"/>
          <w:szCs w:val="16"/>
          <w:lang w:val="pt-PT"/>
        </w:rPr>
      </w:pPr>
      <w:r>
        <w:rPr>
          <w:rStyle w:val="Refdenotaalpie"/>
        </w:rPr>
        <w:footnoteRef/>
      </w:r>
      <w:r w:rsidRPr="00B659F1">
        <w:rPr>
          <w:lang w:val="pt-PT"/>
        </w:rPr>
        <w:t xml:space="preserve"> </w:t>
      </w:r>
      <w:r w:rsidRPr="00B659F1">
        <w:rPr>
          <w:sz w:val="16"/>
          <w:szCs w:val="16"/>
          <w:lang w:val="pt-PT"/>
        </w:rPr>
        <w:t>Corte Constitucional, Sentencia C-475 de 2004.</w:t>
      </w:r>
    </w:p>
    <w:p w14:paraId="61D08BA6" w14:textId="77777777" w:rsidR="003A2C21" w:rsidRPr="00B659F1" w:rsidRDefault="003A2C21" w:rsidP="003A2C21">
      <w:pPr>
        <w:pStyle w:val="Textonotapie"/>
        <w:rPr>
          <w:lang w:val="pt-PT"/>
        </w:rPr>
      </w:pPr>
    </w:p>
  </w:footnote>
  <w:footnote w:id="4">
    <w:p w14:paraId="188A3B9E" w14:textId="77777777" w:rsidR="003A2C21" w:rsidRPr="004E1FDC" w:rsidRDefault="003A2C21" w:rsidP="003A2C21">
      <w:pPr>
        <w:pStyle w:val="Textonotapie"/>
        <w:jc w:val="both"/>
        <w:rPr>
          <w:rFonts w:asciiTheme="minorHAnsi" w:hAnsiTheme="minorHAnsi" w:cstheme="minorHAnsi"/>
          <w:sz w:val="18"/>
          <w:szCs w:val="18"/>
          <w:lang w:val="es-CO"/>
        </w:rPr>
      </w:pPr>
      <w:r>
        <w:rPr>
          <w:rStyle w:val="Refdenotaalpie"/>
        </w:rPr>
        <w:footnoteRef/>
      </w:r>
      <w:r>
        <w:t xml:space="preserve"> “</w:t>
      </w:r>
      <w:r w:rsidRPr="004E1FDC">
        <w:rPr>
          <w:rFonts w:asciiTheme="minorHAnsi" w:hAnsiTheme="minorHAnsi" w:cstheme="minorHAnsi"/>
          <w:i/>
          <w:iCs/>
          <w:sz w:val="18"/>
          <w:szCs w:val="18"/>
        </w:rPr>
        <w:t>En materia administrativa, este derecho se traduce en “la facultad que tiene el administrado para conocer la actuación o proceso administrativo que se le adelante e impugnar o contradecir las pruebas y las providencias que le sean adversas a sus intereses. La administración debe garantizar al ciudadano interesado tal derecho y cualquier actuación que desconozca dicha garantía es contraria a la Constitución. En efecto, si el administrado no está de acuerdo con una decisión de la administración que le afecte sus intereses tiene derecho a ejercer los recursos correspondientes con el fin de obtener que se revoque o modifique”. -</w:t>
      </w:r>
      <w:r w:rsidRPr="004E1FDC">
        <w:rPr>
          <w:rFonts w:asciiTheme="minorHAnsi" w:hAnsiTheme="minorHAnsi" w:cstheme="minorHAnsi"/>
        </w:rPr>
        <w:t xml:space="preserve"> Corte Constitucional - Sentencia T-1082/12</w:t>
      </w:r>
    </w:p>
  </w:footnote>
  <w:footnote w:id="5">
    <w:p w14:paraId="393A6251" w14:textId="77777777" w:rsidR="003A2C21" w:rsidRPr="00847F72" w:rsidRDefault="003A2C21" w:rsidP="003A2C21">
      <w:pPr>
        <w:pStyle w:val="Textonotapie"/>
        <w:rPr>
          <w:lang w:val="pt-PT"/>
        </w:rPr>
      </w:pPr>
      <w:r>
        <w:rPr>
          <w:rStyle w:val="Refdenotaalpie"/>
          <w:rFonts w:eastAsiaTheme="majorEastAsia"/>
        </w:rPr>
        <w:footnoteRef/>
      </w:r>
      <w:r w:rsidRPr="00847F72">
        <w:rPr>
          <w:lang w:val="pt-PT"/>
        </w:rPr>
        <w:t xml:space="preserve"> </w:t>
      </w:r>
      <w:r w:rsidRPr="00847F72">
        <w:rPr>
          <w:color w:val="000000"/>
          <w:sz w:val="18"/>
          <w:szCs w:val="18"/>
          <w:bdr w:val="none" w:sz="0" w:space="0" w:color="auto" w:frame="1"/>
          <w:shd w:val="clear" w:color="auto" w:fill="FFFFFF"/>
          <w:lang w:val="pt-PT" w:eastAsia="es-CO"/>
        </w:rPr>
        <w:t>Corte Constitucional; Sentencia C-086-16 </w:t>
      </w:r>
    </w:p>
  </w:footnote>
  <w:footnote w:id="6">
    <w:p w14:paraId="562C4182" w14:textId="77777777" w:rsidR="000F4300" w:rsidRPr="000F4300" w:rsidRDefault="000F4300" w:rsidP="000F4300">
      <w:pPr>
        <w:pStyle w:val="Textonotapie"/>
        <w:rPr>
          <w:rFonts w:asciiTheme="minorHAnsi" w:hAnsiTheme="minorHAnsi" w:cstheme="minorHAnsi"/>
          <w:sz w:val="18"/>
          <w:szCs w:val="18"/>
          <w:lang w:val="pt-PT"/>
        </w:rPr>
      </w:pPr>
      <w:r>
        <w:rPr>
          <w:rStyle w:val="Refdenotaalpie"/>
        </w:rPr>
        <w:footnoteRef/>
      </w:r>
      <w:r w:rsidRPr="000F4300">
        <w:rPr>
          <w:lang w:val="pt-PT"/>
        </w:rPr>
        <w:t xml:space="preserve"> </w:t>
      </w:r>
      <w:r w:rsidRPr="000F4300">
        <w:rPr>
          <w:rFonts w:asciiTheme="minorHAnsi" w:hAnsiTheme="minorHAnsi" w:cstheme="minorHAnsi"/>
          <w:sz w:val="18"/>
          <w:szCs w:val="18"/>
          <w:lang w:val="pt-PT"/>
        </w:rPr>
        <w:t xml:space="preserve">Corte Constitucional - </w:t>
      </w:r>
      <w:r w:rsidRPr="000F4300">
        <w:rPr>
          <w:rFonts w:asciiTheme="minorHAnsi" w:hAnsiTheme="minorHAnsi" w:cstheme="minorHAnsi"/>
          <w:color w:val="2D2D2D"/>
          <w:sz w:val="18"/>
          <w:szCs w:val="18"/>
          <w:shd w:val="clear" w:color="auto" w:fill="FFFFFF"/>
          <w:lang w:val="pt-PT"/>
        </w:rPr>
        <w:t>Sentencia No. C-022/96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74AD" w14:textId="77777777" w:rsidR="00C5124A" w:rsidRPr="009B0877" w:rsidRDefault="00C5124A" w:rsidP="00CD44E5">
    <w:pPr>
      <w:pStyle w:val="Encabezado"/>
      <w:jc w:val="center"/>
      <w:rPr>
        <w:rFonts w:ascii="Times New Roman" w:hAnsi="Times New Roman" w:cs="Times New Roman"/>
      </w:rPr>
    </w:pPr>
  </w:p>
  <w:p w14:paraId="58BD78ED" w14:textId="77777777" w:rsidR="00C5124A" w:rsidRPr="009B0877" w:rsidRDefault="00C5124A" w:rsidP="00CD44E5">
    <w:pPr>
      <w:pStyle w:val="Encabezado"/>
      <w:jc w:val="center"/>
      <w:rPr>
        <w:rFonts w:ascii="Times New Roman" w:hAnsi="Times New Roman" w:cs="Times New Roman"/>
      </w:rPr>
    </w:pPr>
  </w:p>
  <w:p w14:paraId="77D50BAA" w14:textId="77777777" w:rsidR="00C5124A" w:rsidRPr="009B0877" w:rsidRDefault="00C5124A" w:rsidP="00C5124A">
    <w:pPr>
      <w:pStyle w:val="Encabezado"/>
      <w:tabs>
        <w:tab w:val="left" w:pos="7155"/>
        <w:tab w:val="right" w:pos="9406"/>
      </w:tabs>
      <w:jc w:val="right"/>
      <w:rPr>
        <w:rFonts w:ascii="Times New Roman" w:hAnsi="Times New Roman" w:cs="Times New Roman"/>
        <w:sz w:val="16"/>
        <w:szCs w:val="16"/>
      </w:rPr>
    </w:pPr>
    <w:r w:rsidRPr="009B0877">
      <w:rPr>
        <w:rFonts w:ascii="Times New Roman" w:hAnsi="Times New Roman" w:cs="Times New Roman"/>
        <w:sz w:val="16"/>
        <w:szCs w:val="16"/>
      </w:rPr>
      <w:t xml:space="preserve">Pág. </w:t>
    </w:r>
    <w:r w:rsidRPr="009B0877">
      <w:rPr>
        <w:rFonts w:ascii="Times New Roman" w:hAnsi="Times New Roman" w:cs="Times New Roman"/>
        <w:sz w:val="16"/>
        <w:szCs w:val="16"/>
      </w:rPr>
      <w:fldChar w:fldCharType="begin"/>
    </w:r>
    <w:r w:rsidRPr="009B0877">
      <w:rPr>
        <w:rFonts w:ascii="Times New Roman" w:hAnsi="Times New Roman" w:cs="Times New Roman"/>
        <w:sz w:val="16"/>
        <w:szCs w:val="16"/>
      </w:rPr>
      <w:instrText xml:space="preserve"> PAGE </w:instrText>
    </w:r>
    <w:r w:rsidRPr="009B0877">
      <w:rPr>
        <w:rFonts w:ascii="Times New Roman" w:hAnsi="Times New Roman" w:cs="Times New Roman"/>
        <w:sz w:val="16"/>
        <w:szCs w:val="16"/>
      </w:rPr>
      <w:fldChar w:fldCharType="separate"/>
    </w:r>
    <w:r w:rsidR="009B0877">
      <w:rPr>
        <w:rFonts w:ascii="Times New Roman" w:hAnsi="Times New Roman" w:cs="Times New Roman"/>
        <w:noProof/>
        <w:sz w:val="16"/>
        <w:szCs w:val="16"/>
      </w:rPr>
      <w:t>23</w:t>
    </w:r>
    <w:r w:rsidRPr="009B0877">
      <w:rPr>
        <w:rFonts w:ascii="Times New Roman" w:hAnsi="Times New Roman" w:cs="Times New Roman"/>
        <w:sz w:val="16"/>
        <w:szCs w:val="16"/>
      </w:rPr>
      <w:fldChar w:fldCharType="end"/>
    </w:r>
    <w:r w:rsidRPr="009B0877">
      <w:rPr>
        <w:rFonts w:ascii="Times New Roman" w:hAnsi="Times New Roman" w:cs="Times New Roman"/>
        <w:sz w:val="16"/>
        <w:szCs w:val="16"/>
      </w:rPr>
      <w:t xml:space="preserve"> de </w:t>
    </w:r>
    <w:r w:rsidRPr="009B0877">
      <w:rPr>
        <w:rFonts w:ascii="Times New Roman" w:hAnsi="Times New Roman" w:cs="Times New Roman"/>
        <w:sz w:val="16"/>
        <w:szCs w:val="16"/>
      </w:rPr>
      <w:fldChar w:fldCharType="begin"/>
    </w:r>
    <w:r w:rsidRPr="009B0877">
      <w:rPr>
        <w:rFonts w:ascii="Times New Roman" w:hAnsi="Times New Roman" w:cs="Times New Roman"/>
        <w:sz w:val="16"/>
        <w:szCs w:val="16"/>
      </w:rPr>
      <w:instrText xml:space="preserve"> NUMPAGES  </w:instrText>
    </w:r>
    <w:r w:rsidRPr="009B0877">
      <w:rPr>
        <w:rFonts w:ascii="Times New Roman" w:hAnsi="Times New Roman" w:cs="Times New Roman"/>
        <w:sz w:val="16"/>
        <w:szCs w:val="16"/>
      </w:rPr>
      <w:fldChar w:fldCharType="separate"/>
    </w:r>
    <w:r w:rsidR="009B0877">
      <w:rPr>
        <w:rFonts w:ascii="Times New Roman" w:hAnsi="Times New Roman" w:cs="Times New Roman"/>
        <w:noProof/>
        <w:sz w:val="16"/>
        <w:szCs w:val="16"/>
      </w:rPr>
      <w:t>23</w:t>
    </w:r>
    <w:r w:rsidRPr="009B0877">
      <w:rPr>
        <w:rFonts w:ascii="Times New Roman" w:hAnsi="Times New Roman" w:cs="Times New Roman"/>
        <w:sz w:val="16"/>
        <w:szCs w:val="16"/>
      </w:rPr>
      <w:fldChar w:fldCharType="end"/>
    </w:r>
  </w:p>
  <w:p w14:paraId="432D645B" w14:textId="77777777" w:rsidR="00C5124A" w:rsidRPr="009B0877" w:rsidRDefault="00C5124A" w:rsidP="00C5124A">
    <w:pPr>
      <w:jc w:val="center"/>
      <w:rPr>
        <w:b/>
        <w:sz w:val="24"/>
        <w:szCs w:val="24"/>
      </w:rPr>
    </w:pPr>
  </w:p>
  <w:p w14:paraId="3F6FCA9B" w14:textId="445E3529" w:rsidR="00C5124A" w:rsidRPr="009B0877" w:rsidRDefault="00C5124A" w:rsidP="00C5124A">
    <w:pPr>
      <w:jc w:val="center"/>
      <w:rPr>
        <w:b/>
        <w:sz w:val="24"/>
        <w:szCs w:val="24"/>
      </w:rPr>
    </w:pPr>
    <w:r w:rsidRPr="009B0877">
      <w:rPr>
        <w:b/>
        <w:sz w:val="24"/>
        <w:szCs w:val="24"/>
      </w:rPr>
      <w:t>RESOLUCIÓN No.</w:t>
    </w:r>
    <w:r w:rsidR="002709D1" w:rsidRPr="009B0877">
      <w:rPr>
        <w:b/>
        <w:sz w:val="24"/>
        <w:szCs w:val="24"/>
      </w:rPr>
      <w:t xml:space="preserve"> </w:t>
    </w:r>
    <w:r w:rsidR="00D005E0" w:rsidRPr="009B0877">
      <w:rPr>
        <w:b/>
        <w:sz w:val="24"/>
        <w:szCs w:val="24"/>
      </w:rPr>
      <w:t>XX</w:t>
    </w:r>
    <w:r w:rsidRPr="009B0877">
      <w:rPr>
        <w:b/>
        <w:sz w:val="24"/>
        <w:szCs w:val="24"/>
      </w:rPr>
      <w:t xml:space="preserve"> DEL</w:t>
    </w:r>
    <w:r w:rsidR="002709D1" w:rsidRPr="009B0877">
      <w:rPr>
        <w:b/>
        <w:sz w:val="24"/>
        <w:szCs w:val="24"/>
      </w:rPr>
      <w:t xml:space="preserve"> </w:t>
    </w:r>
    <w:r w:rsidR="00C15949">
      <w:rPr>
        <w:b/>
        <w:sz w:val="24"/>
        <w:szCs w:val="24"/>
      </w:rPr>
      <w:t>17</w:t>
    </w:r>
    <w:r w:rsidRPr="009B0877">
      <w:rPr>
        <w:b/>
        <w:sz w:val="24"/>
        <w:szCs w:val="24"/>
      </w:rPr>
      <w:t xml:space="preserve"> DE</w:t>
    </w:r>
    <w:r w:rsidR="002709D1" w:rsidRPr="009B0877">
      <w:rPr>
        <w:b/>
        <w:sz w:val="24"/>
        <w:szCs w:val="24"/>
      </w:rPr>
      <w:t xml:space="preserve"> </w:t>
    </w:r>
    <w:r w:rsidR="00C15949">
      <w:rPr>
        <w:b/>
        <w:sz w:val="24"/>
        <w:szCs w:val="24"/>
      </w:rPr>
      <w:t>FEBRERO</w:t>
    </w:r>
    <w:r w:rsidRPr="009B0877">
      <w:rPr>
        <w:b/>
        <w:sz w:val="24"/>
        <w:szCs w:val="24"/>
      </w:rPr>
      <w:t xml:space="preserve"> DE 202</w:t>
    </w:r>
    <w:r w:rsidR="00C15949">
      <w:rPr>
        <w:b/>
        <w:sz w:val="24"/>
        <w:szCs w:val="24"/>
      </w:rPr>
      <w:t>6</w:t>
    </w:r>
  </w:p>
  <w:p w14:paraId="3EBC6417" w14:textId="69D9A794" w:rsidR="00C5124A" w:rsidRPr="009B0877" w:rsidRDefault="003A2C21" w:rsidP="00C5124A">
    <w:pPr>
      <w:pStyle w:val="Encabezado"/>
      <w:jc w:val="center"/>
      <w:rPr>
        <w:rFonts w:ascii="Times New Roman" w:hAnsi="Times New Roman" w:cs="Times New Roman"/>
        <w:b/>
        <w:sz w:val="24"/>
        <w:szCs w:val="24"/>
      </w:rPr>
    </w:pPr>
    <w:r w:rsidRPr="009B0877">
      <w:rPr>
        <w:rFonts w:ascii="Times New Roman" w:hAnsi="Times New Roman" w:cs="Times New Roman"/>
        <w:i/>
        <w:sz w:val="24"/>
        <w:szCs w:val="24"/>
      </w:rPr>
      <w:t xml:space="preserve">“Por la cual se resuelve un recurso de reposición </w:t>
    </w:r>
    <w:r w:rsidR="009B0877">
      <w:rPr>
        <w:rFonts w:ascii="Times New Roman" w:hAnsi="Times New Roman" w:cs="Times New Roman"/>
        <w:i/>
        <w:sz w:val="24"/>
        <w:szCs w:val="24"/>
      </w:rPr>
      <w:t xml:space="preserve">y se concede el recurso de apelación </w:t>
    </w:r>
    <w:r w:rsidRPr="009B0877">
      <w:rPr>
        <w:rFonts w:ascii="Times New Roman" w:hAnsi="Times New Roman" w:cs="Times New Roman"/>
        <w:i/>
        <w:sz w:val="24"/>
        <w:szCs w:val="24"/>
      </w:rPr>
      <w:t>interpuesto contra la Resolución No.</w:t>
    </w:r>
    <w:r w:rsidR="00B659F1">
      <w:rPr>
        <w:rFonts w:ascii="Times New Roman" w:hAnsi="Times New Roman" w:cs="Times New Roman"/>
        <w:i/>
        <w:sz w:val="24"/>
        <w:szCs w:val="24"/>
      </w:rPr>
      <w:t>2609 del 28 de septiembre de 2016</w:t>
    </w:r>
    <w:r w:rsidRPr="009B0877">
      <w:rPr>
        <w:rFonts w:ascii="Times New Roman" w:hAnsi="Times New Roman" w:cs="Times New Roman"/>
        <w:i/>
        <w:sz w:val="24"/>
        <w:szCs w:val="24"/>
      </w:rPr>
      <w:t>.</w:t>
    </w:r>
  </w:p>
  <w:p w14:paraId="19404395" w14:textId="4612C286" w:rsidR="00CD44E5" w:rsidRPr="009B0877" w:rsidRDefault="00D26307" w:rsidP="00CD44E5">
    <w:pPr>
      <w:pStyle w:val="Encabezado"/>
      <w:jc w:val="center"/>
      <w:rPr>
        <w:rFonts w:ascii="Times New Roman" w:hAnsi="Times New Roman" w:cs="Times New Roman"/>
      </w:rPr>
    </w:pPr>
    <w:r w:rsidRPr="009B0877">
      <w:rPr>
        <w:rFonts w:ascii="Times New Roman" w:hAnsi="Times New Roman" w:cs="Times New Roman"/>
        <w:noProof/>
        <w:lang w:eastAsia="es-CO"/>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FFFFFFFF"/>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AA340B"/>
    <w:multiLevelType w:val="hybridMultilevel"/>
    <w:tmpl w:val="4AECAF0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1B0412D"/>
    <w:multiLevelType w:val="hybridMultilevel"/>
    <w:tmpl w:val="3E9656B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57D03CF"/>
    <w:multiLevelType w:val="hybridMultilevel"/>
    <w:tmpl w:val="2BF22AE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36204800">
    <w:abstractNumId w:val="7"/>
  </w:num>
  <w:num w:numId="2" w16cid:durableId="1055544992">
    <w:abstractNumId w:val="31"/>
  </w:num>
  <w:num w:numId="3" w16cid:durableId="455178079">
    <w:abstractNumId w:val="26"/>
  </w:num>
  <w:num w:numId="4" w16cid:durableId="137385999">
    <w:abstractNumId w:val="25"/>
  </w:num>
  <w:num w:numId="5" w16cid:durableId="241644742">
    <w:abstractNumId w:val="16"/>
  </w:num>
  <w:num w:numId="6" w16cid:durableId="1016731575">
    <w:abstractNumId w:val="33"/>
  </w:num>
  <w:num w:numId="7" w16cid:durableId="3674144">
    <w:abstractNumId w:val="0"/>
  </w:num>
  <w:num w:numId="8" w16cid:durableId="1213420884">
    <w:abstractNumId w:val="4"/>
  </w:num>
  <w:num w:numId="9" w16cid:durableId="1298800948">
    <w:abstractNumId w:val="14"/>
  </w:num>
  <w:num w:numId="10" w16cid:durableId="715349489">
    <w:abstractNumId w:val="2"/>
  </w:num>
  <w:num w:numId="11" w16cid:durableId="2047369982">
    <w:abstractNumId w:val="9"/>
  </w:num>
  <w:num w:numId="12" w16cid:durableId="1260410561">
    <w:abstractNumId w:val="18"/>
  </w:num>
  <w:num w:numId="13" w16cid:durableId="870412398">
    <w:abstractNumId w:val="30"/>
  </w:num>
  <w:num w:numId="14" w16cid:durableId="191304306">
    <w:abstractNumId w:val="22"/>
  </w:num>
  <w:num w:numId="15" w16cid:durableId="1475948262">
    <w:abstractNumId w:val="15"/>
  </w:num>
  <w:num w:numId="16" w16cid:durableId="1237936917">
    <w:abstractNumId w:val="29"/>
  </w:num>
  <w:num w:numId="17" w16cid:durableId="2123306166">
    <w:abstractNumId w:val="21"/>
  </w:num>
  <w:num w:numId="18" w16cid:durableId="970598604">
    <w:abstractNumId w:val="34"/>
  </w:num>
  <w:num w:numId="19" w16cid:durableId="1011297365">
    <w:abstractNumId w:val="35"/>
  </w:num>
  <w:num w:numId="20" w16cid:durableId="458575393">
    <w:abstractNumId w:val="28"/>
  </w:num>
  <w:num w:numId="21" w16cid:durableId="2032098041">
    <w:abstractNumId w:val="11"/>
  </w:num>
  <w:num w:numId="22" w16cid:durableId="969364489">
    <w:abstractNumId w:val="23"/>
  </w:num>
  <w:num w:numId="23" w16cid:durableId="1416515797">
    <w:abstractNumId w:val="10"/>
  </w:num>
  <w:num w:numId="24" w16cid:durableId="75707372">
    <w:abstractNumId w:val="27"/>
  </w:num>
  <w:num w:numId="25" w16cid:durableId="1056247946">
    <w:abstractNumId w:val="24"/>
  </w:num>
  <w:num w:numId="26" w16cid:durableId="1453593659">
    <w:abstractNumId w:val="17"/>
  </w:num>
  <w:num w:numId="27" w16cid:durableId="956907017">
    <w:abstractNumId w:val="32"/>
  </w:num>
  <w:num w:numId="28" w16cid:durableId="1178693501">
    <w:abstractNumId w:val="20"/>
  </w:num>
  <w:num w:numId="29" w16cid:durableId="1355575540">
    <w:abstractNumId w:val="8"/>
  </w:num>
  <w:num w:numId="30" w16cid:durableId="2057587023">
    <w:abstractNumId w:val="19"/>
  </w:num>
  <w:num w:numId="31" w16cid:durableId="301884876">
    <w:abstractNumId w:val="13"/>
  </w:num>
  <w:num w:numId="32" w16cid:durableId="1189031736">
    <w:abstractNumId w:val="12"/>
  </w:num>
  <w:num w:numId="33" w16cid:durableId="850680285">
    <w:abstractNumId w:val="1"/>
    <w:lvlOverride w:ilvl="0">
      <w:lvl w:ilvl="0">
        <w:numFmt w:val="bullet"/>
        <w:lvlText w:val=""/>
        <w:legacy w:legacy="1" w:legacySpace="0" w:legacyIndent="360"/>
        <w:lvlJc w:val="left"/>
        <w:rPr>
          <w:rFonts w:ascii="Symbol" w:hAnsi="Symbol" w:hint="default"/>
        </w:rPr>
      </w:lvl>
    </w:lvlOverride>
  </w:num>
  <w:num w:numId="34" w16cid:durableId="1425226029">
    <w:abstractNumId w:val="6"/>
  </w:num>
  <w:num w:numId="35" w16cid:durableId="1573271214">
    <w:abstractNumId w:val="3"/>
  </w:num>
  <w:num w:numId="36" w16cid:durableId="21062704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20629"/>
    <w:rsid w:val="00022ADA"/>
    <w:rsid w:val="00024893"/>
    <w:rsid w:val="000461F8"/>
    <w:rsid w:val="00046E74"/>
    <w:rsid w:val="00047628"/>
    <w:rsid w:val="00060453"/>
    <w:rsid w:val="00061C29"/>
    <w:rsid w:val="0006352E"/>
    <w:rsid w:val="0006741B"/>
    <w:rsid w:val="00070D4E"/>
    <w:rsid w:val="00070DB6"/>
    <w:rsid w:val="00081660"/>
    <w:rsid w:val="000849D6"/>
    <w:rsid w:val="00087E5F"/>
    <w:rsid w:val="00094020"/>
    <w:rsid w:val="000A61EE"/>
    <w:rsid w:val="000D0011"/>
    <w:rsid w:val="000F1EAB"/>
    <w:rsid w:val="000F4300"/>
    <w:rsid w:val="00102D1D"/>
    <w:rsid w:val="001032FA"/>
    <w:rsid w:val="00121F0B"/>
    <w:rsid w:val="00125037"/>
    <w:rsid w:val="00132710"/>
    <w:rsid w:val="00174FEA"/>
    <w:rsid w:val="00177681"/>
    <w:rsid w:val="00190711"/>
    <w:rsid w:val="001B4B15"/>
    <w:rsid w:val="001B59C4"/>
    <w:rsid w:val="001C16DF"/>
    <w:rsid w:val="001C3976"/>
    <w:rsid w:val="001E5FA5"/>
    <w:rsid w:val="001F54FA"/>
    <w:rsid w:val="001F6565"/>
    <w:rsid w:val="00213CDD"/>
    <w:rsid w:val="00220622"/>
    <w:rsid w:val="0022390E"/>
    <w:rsid w:val="00227627"/>
    <w:rsid w:val="00235103"/>
    <w:rsid w:val="002442AF"/>
    <w:rsid w:val="00251205"/>
    <w:rsid w:val="002617D2"/>
    <w:rsid w:val="002642C3"/>
    <w:rsid w:val="002650A3"/>
    <w:rsid w:val="002709D1"/>
    <w:rsid w:val="002C1F70"/>
    <w:rsid w:val="002C3383"/>
    <w:rsid w:val="002D1721"/>
    <w:rsid w:val="002D3084"/>
    <w:rsid w:val="002D568A"/>
    <w:rsid w:val="002D6042"/>
    <w:rsid w:val="002D74BF"/>
    <w:rsid w:val="002E0744"/>
    <w:rsid w:val="002F2F68"/>
    <w:rsid w:val="00300AF0"/>
    <w:rsid w:val="00303B6C"/>
    <w:rsid w:val="00316749"/>
    <w:rsid w:val="00324A21"/>
    <w:rsid w:val="00324FB3"/>
    <w:rsid w:val="00325EFE"/>
    <w:rsid w:val="00331B76"/>
    <w:rsid w:val="00344E27"/>
    <w:rsid w:val="003574AC"/>
    <w:rsid w:val="00364C00"/>
    <w:rsid w:val="00370A75"/>
    <w:rsid w:val="003816D5"/>
    <w:rsid w:val="003A0D03"/>
    <w:rsid w:val="003A1368"/>
    <w:rsid w:val="003A2C21"/>
    <w:rsid w:val="003C3162"/>
    <w:rsid w:val="003D1EC0"/>
    <w:rsid w:val="003D560C"/>
    <w:rsid w:val="003F146A"/>
    <w:rsid w:val="00401BDF"/>
    <w:rsid w:val="0040709C"/>
    <w:rsid w:val="0041272C"/>
    <w:rsid w:val="00435268"/>
    <w:rsid w:val="00454AE7"/>
    <w:rsid w:val="00472571"/>
    <w:rsid w:val="004924AF"/>
    <w:rsid w:val="0049599C"/>
    <w:rsid w:val="004C2CCC"/>
    <w:rsid w:val="004C76EB"/>
    <w:rsid w:val="004C7733"/>
    <w:rsid w:val="004E44AF"/>
    <w:rsid w:val="0050120E"/>
    <w:rsid w:val="0051643D"/>
    <w:rsid w:val="005230A1"/>
    <w:rsid w:val="005360FB"/>
    <w:rsid w:val="00546ADA"/>
    <w:rsid w:val="00547BDB"/>
    <w:rsid w:val="00552F18"/>
    <w:rsid w:val="005540AB"/>
    <w:rsid w:val="00564F62"/>
    <w:rsid w:val="00572DA1"/>
    <w:rsid w:val="005A0819"/>
    <w:rsid w:val="005A7881"/>
    <w:rsid w:val="005D2C75"/>
    <w:rsid w:val="005D6CDE"/>
    <w:rsid w:val="005D6E46"/>
    <w:rsid w:val="005F1CC9"/>
    <w:rsid w:val="005F3DBA"/>
    <w:rsid w:val="006028DE"/>
    <w:rsid w:val="006257B3"/>
    <w:rsid w:val="0064655F"/>
    <w:rsid w:val="00661A1E"/>
    <w:rsid w:val="00664AA4"/>
    <w:rsid w:val="0066560A"/>
    <w:rsid w:val="006715C2"/>
    <w:rsid w:val="00680DA4"/>
    <w:rsid w:val="006824B5"/>
    <w:rsid w:val="00695AC8"/>
    <w:rsid w:val="006C0FB6"/>
    <w:rsid w:val="006C1411"/>
    <w:rsid w:val="006D2089"/>
    <w:rsid w:val="006D742C"/>
    <w:rsid w:val="006F2BC0"/>
    <w:rsid w:val="006F352F"/>
    <w:rsid w:val="00723D15"/>
    <w:rsid w:val="007301F9"/>
    <w:rsid w:val="00730391"/>
    <w:rsid w:val="007353F9"/>
    <w:rsid w:val="00740B75"/>
    <w:rsid w:val="00754061"/>
    <w:rsid w:val="007543B6"/>
    <w:rsid w:val="007551A4"/>
    <w:rsid w:val="007715AA"/>
    <w:rsid w:val="00775047"/>
    <w:rsid w:val="0077652D"/>
    <w:rsid w:val="00783945"/>
    <w:rsid w:val="007A42F1"/>
    <w:rsid w:val="007B61BA"/>
    <w:rsid w:val="007C0F27"/>
    <w:rsid w:val="007D1A97"/>
    <w:rsid w:val="007D1E06"/>
    <w:rsid w:val="007D5ABD"/>
    <w:rsid w:val="00817C68"/>
    <w:rsid w:val="00821178"/>
    <w:rsid w:val="008302E8"/>
    <w:rsid w:val="0083036E"/>
    <w:rsid w:val="00847F72"/>
    <w:rsid w:val="00866529"/>
    <w:rsid w:val="0087738C"/>
    <w:rsid w:val="0088181D"/>
    <w:rsid w:val="008A153A"/>
    <w:rsid w:val="008A6384"/>
    <w:rsid w:val="008C5577"/>
    <w:rsid w:val="008E53CB"/>
    <w:rsid w:val="008F12CA"/>
    <w:rsid w:val="009110BB"/>
    <w:rsid w:val="00911527"/>
    <w:rsid w:val="00913D44"/>
    <w:rsid w:val="00941C25"/>
    <w:rsid w:val="00943761"/>
    <w:rsid w:val="0095687D"/>
    <w:rsid w:val="00961115"/>
    <w:rsid w:val="00965D4E"/>
    <w:rsid w:val="00985E22"/>
    <w:rsid w:val="00997067"/>
    <w:rsid w:val="009B0877"/>
    <w:rsid w:val="009B63A4"/>
    <w:rsid w:val="009B6A51"/>
    <w:rsid w:val="009B7B9D"/>
    <w:rsid w:val="009D141C"/>
    <w:rsid w:val="009D4CEB"/>
    <w:rsid w:val="009D633D"/>
    <w:rsid w:val="009D6DC2"/>
    <w:rsid w:val="009F0A4B"/>
    <w:rsid w:val="009F7052"/>
    <w:rsid w:val="00A01B90"/>
    <w:rsid w:val="00A069E7"/>
    <w:rsid w:val="00A13878"/>
    <w:rsid w:val="00A30F3A"/>
    <w:rsid w:val="00A50F30"/>
    <w:rsid w:val="00A908D2"/>
    <w:rsid w:val="00AE096F"/>
    <w:rsid w:val="00AF10C5"/>
    <w:rsid w:val="00AF2174"/>
    <w:rsid w:val="00B00313"/>
    <w:rsid w:val="00B11768"/>
    <w:rsid w:val="00B16261"/>
    <w:rsid w:val="00B42F54"/>
    <w:rsid w:val="00B44262"/>
    <w:rsid w:val="00B635D6"/>
    <w:rsid w:val="00B659F1"/>
    <w:rsid w:val="00B668EC"/>
    <w:rsid w:val="00B735C4"/>
    <w:rsid w:val="00B82054"/>
    <w:rsid w:val="00B836BA"/>
    <w:rsid w:val="00B858FC"/>
    <w:rsid w:val="00BA41B2"/>
    <w:rsid w:val="00BA4DA0"/>
    <w:rsid w:val="00BA5A64"/>
    <w:rsid w:val="00BA5F95"/>
    <w:rsid w:val="00BC6109"/>
    <w:rsid w:val="00BC7A6A"/>
    <w:rsid w:val="00BE6554"/>
    <w:rsid w:val="00BF4BB7"/>
    <w:rsid w:val="00C106DD"/>
    <w:rsid w:val="00C11726"/>
    <w:rsid w:val="00C15949"/>
    <w:rsid w:val="00C1695B"/>
    <w:rsid w:val="00C40351"/>
    <w:rsid w:val="00C43BE4"/>
    <w:rsid w:val="00C45B39"/>
    <w:rsid w:val="00C5124A"/>
    <w:rsid w:val="00C54C03"/>
    <w:rsid w:val="00C770B4"/>
    <w:rsid w:val="00C91AE1"/>
    <w:rsid w:val="00C95958"/>
    <w:rsid w:val="00CB4DED"/>
    <w:rsid w:val="00CD384C"/>
    <w:rsid w:val="00CD44E5"/>
    <w:rsid w:val="00CE63EF"/>
    <w:rsid w:val="00CF2902"/>
    <w:rsid w:val="00D005E0"/>
    <w:rsid w:val="00D17F91"/>
    <w:rsid w:val="00D26307"/>
    <w:rsid w:val="00D44343"/>
    <w:rsid w:val="00D6369B"/>
    <w:rsid w:val="00D719B4"/>
    <w:rsid w:val="00D7248A"/>
    <w:rsid w:val="00D82407"/>
    <w:rsid w:val="00D96C6B"/>
    <w:rsid w:val="00DE6D98"/>
    <w:rsid w:val="00DF67E0"/>
    <w:rsid w:val="00E0483D"/>
    <w:rsid w:val="00E17133"/>
    <w:rsid w:val="00E25428"/>
    <w:rsid w:val="00E26BAF"/>
    <w:rsid w:val="00E31CC5"/>
    <w:rsid w:val="00E35435"/>
    <w:rsid w:val="00E40083"/>
    <w:rsid w:val="00E40EF8"/>
    <w:rsid w:val="00E63741"/>
    <w:rsid w:val="00E7493F"/>
    <w:rsid w:val="00E81EBD"/>
    <w:rsid w:val="00EA2B3A"/>
    <w:rsid w:val="00EC5937"/>
    <w:rsid w:val="00ED25F2"/>
    <w:rsid w:val="00ED5852"/>
    <w:rsid w:val="00EE309C"/>
    <w:rsid w:val="00EE49C1"/>
    <w:rsid w:val="00F34648"/>
    <w:rsid w:val="00F42B8E"/>
    <w:rsid w:val="00F47AFF"/>
    <w:rsid w:val="00F61670"/>
    <w:rsid w:val="00F92284"/>
    <w:rsid w:val="00FA4A17"/>
    <w:rsid w:val="00FB00A7"/>
    <w:rsid w:val="00FC72B0"/>
    <w:rsid w:val="00FD4DAB"/>
    <w:rsid w:val="00FD6155"/>
    <w:rsid w:val="00FD7089"/>
    <w:rsid w:val="00FF584D"/>
    <w:rsid w:val="00FF73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5"/>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 w:val="24"/>
      <w:szCs w:val="40"/>
      <w:lang w:val="es-CO"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 w:val="24"/>
      <w:szCs w:val="32"/>
      <w:lang w:val="es-CO"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 w:val="24"/>
      <w:szCs w:val="28"/>
      <w:lang w:val="es-CO"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 Car Car,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uiPriority w:val="99"/>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semiHidden/>
    <w:unhideWhenUsed/>
    <w:rsid w:val="0066560A"/>
    <w:pPr>
      <w:spacing w:before="100" w:beforeAutospacing="1" w:after="100" w:afterAutospacing="1"/>
    </w:pPr>
    <w:rPr>
      <w:sz w:val="24"/>
      <w:szCs w:val="24"/>
      <w:lang w:val="es-CO" w:eastAsia="es-CO"/>
    </w:r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sz w:val="24"/>
      <w:szCs w:val="24"/>
      <w:lang w:val="es-CO" w:eastAsia="es-CO"/>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val="es-CO"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sz w:val="24"/>
      <w:szCs w:val="24"/>
      <w:lang w:val="es-CO"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sz w:val="24"/>
      <w:szCs w:val="24"/>
      <w:lang w:val="es-CO"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sz w:val="24"/>
      <w:szCs w:val="24"/>
      <w:lang w:val="es-CO"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sz w:val="24"/>
      <w:szCs w:val="24"/>
      <w:lang w:val="es-CO"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lang w:val="es-CO"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customStyle="1" w:styleId="paragraph">
    <w:name w:val="paragraph"/>
    <w:basedOn w:val="Normal"/>
    <w:rsid w:val="00C5124A"/>
    <w:pPr>
      <w:spacing w:before="100" w:beforeAutospacing="1" w:after="100" w:afterAutospacing="1"/>
    </w:pPr>
    <w:rPr>
      <w:sz w:val="24"/>
      <w:szCs w:val="24"/>
      <w:lang w:val="es-CO" w:eastAsia="es-CO"/>
    </w:rPr>
  </w:style>
  <w:style w:type="paragraph" w:styleId="Textonotapie">
    <w:name w:val="footnote text"/>
    <w:aliases w:val="Footnote Text Char Char Char Char Char,Footnote Text Char Char Char Char,Footnote reference,FA Fu,Footnote Text Char Char Char,texto de nota al pie,Texto nota pie Car Car Car,Texto nota pie Car Car,Footnote Text,FA Fu C,Footnote Text Char"/>
    <w:basedOn w:val="Normal"/>
    <w:link w:val="TextonotapieCar"/>
    <w:uiPriority w:val="99"/>
    <w:qFormat/>
    <w:rsid w:val="007C0F27"/>
  </w:style>
  <w:style w:type="character" w:customStyle="1" w:styleId="TextonotapieCar">
    <w:name w:val="Texto nota pie Car"/>
    <w:aliases w:val="Footnote Text Char Char Char Char Char Car,Footnote Text Char Char Char Char Car,Footnote reference Car,FA Fu Car,Footnote Text Char Char Char Car,texto de nota al pie Car,Texto nota pie Car Car Car Car,Texto nota pie Car Car Car1"/>
    <w:basedOn w:val="Fuentedeprrafopredeter"/>
    <w:link w:val="Textonotapie"/>
    <w:uiPriority w:val="99"/>
    <w:qFormat/>
    <w:rsid w:val="007C0F27"/>
    <w:rPr>
      <w:rFonts w:ascii="Times New Roman" w:eastAsia="Times New Roman" w:hAnsi="Times New Roman" w:cs="Times New Roman"/>
      <w:sz w:val="20"/>
      <w:szCs w:val="20"/>
      <w:lang w:val="es-ES_tradnl" w:eastAsia="es-ES"/>
    </w:rPr>
  </w:style>
  <w:style w:type="character" w:styleId="Refdenotaalpie">
    <w:name w:val="footnote reference"/>
    <w:aliases w:val="Texto de nota al pie,Footnotes refss,Appel note de bas de page,Ref. de nota al pie 2,Ref,de nota al pie,FC,Appel note de bas de p,Pie de Página,referencia nota al pie,Nota de pie,Texto nota al pie,Texto de nota al pi,Footnote number"/>
    <w:basedOn w:val="Fuentedeprrafopredeter"/>
    <w:link w:val="Piedepagina"/>
    <w:uiPriority w:val="99"/>
    <w:qFormat/>
    <w:rsid w:val="007C0F27"/>
    <w:rPr>
      <w:vertAlign w:val="superscript"/>
    </w:rPr>
  </w:style>
  <w:style w:type="paragraph" w:customStyle="1" w:styleId="Piedepagina">
    <w:name w:val="Pie de pagina"/>
    <w:basedOn w:val="Normal"/>
    <w:link w:val="Refdenotaalpie"/>
    <w:uiPriority w:val="99"/>
    <w:rsid w:val="007C0F27"/>
    <w:pPr>
      <w:spacing w:after="160" w:line="240" w:lineRule="exact"/>
    </w:pPr>
    <w:rPr>
      <w:rFonts w:asciiTheme="minorHAnsi" w:eastAsiaTheme="minorHAnsi" w:hAnsiTheme="minorHAnsi" w:cstheme="minorBidi"/>
      <w:sz w:val="22"/>
      <w:szCs w:val="22"/>
      <w:vertAlign w:val="superscript"/>
      <w:lang w:val="es-CO" w:eastAsia="en-US"/>
    </w:rPr>
  </w:style>
  <w:style w:type="paragraph" w:styleId="Revisin">
    <w:name w:val="Revision"/>
    <w:hidden/>
    <w:uiPriority w:val="99"/>
    <w:semiHidden/>
    <w:rsid w:val="003C3162"/>
    <w:pPr>
      <w:spacing w:after="0" w:line="240" w:lineRule="auto"/>
    </w:pPr>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semiHidden/>
    <w:rsid w:val="003A2C21"/>
    <w:pPr>
      <w:tabs>
        <w:tab w:val="left" w:pos="5460"/>
      </w:tabs>
      <w:jc w:val="both"/>
    </w:pPr>
    <w:rPr>
      <w:rFonts w:ascii="Arial" w:hAnsi="Arial" w:cs="Arial"/>
      <w:sz w:val="22"/>
      <w:lang w:val="es-MX"/>
    </w:rPr>
  </w:style>
  <w:style w:type="character" w:customStyle="1" w:styleId="TextoindependienteCar">
    <w:name w:val="Texto independiente Car"/>
    <w:basedOn w:val="Fuentedeprrafopredeter"/>
    <w:link w:val="Textoindependiente"/>
    <w:uiPriority w:val="99"/>
    <w:semiHidden/>
    <w:rsid w:val="003A2C21"/>
    <w:rPr>
      <w:rFonts w:ascii="Arial" w:eastAsia="Times New Roman" w:hAnsi="Arial" w:cs="Arial"/>
      <w:szCs w:val="20"/>
      <w:lang w:val="es-MX" w:eastAsia="es-ES"/>
    </w:rPr>
  </w:style>
  <w:style w:type="paragraph" w:customStyle="1" w:styleId="chalo">
    <w:name w:val="chalo"/>
    <w:basedOn w:val="Normal"/>
    <w:link w:val="chaloCar"/>
    <w:qFormat/>
    <w:rsid w:val="003A2C21"/>
    <w:pPr>
      <w:jc w:val="both"/>
    </w:pPr>
    <w:rPr>
      <w:sz w:val="24"/>
      <w:szCs w:val="24"/>
      <w:lang w:val="es-ES"/>
    </w:rPr>
  </w:style>
  <w:style w:type="character" w:customStyle="1" w:styleId="chaloCar">
    <w:name w:val="chalo Car"/>
    <w:link w:val="chalo"/>
    <w:rsid w:val="003A2C21"/>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5716</Words>
  <Characters>31441</Characters>
  <Application>Microsoft Office Word</Application>
  <DocSecurity>0</DocSecurity>
  <Lines>262</Lines>
  <Paragraphs>74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2026-03-04T21:19:00Z</dcterms:created>
  <dcterms:modified xsi:type="dcterms:W3CDTF">2026-03-04T21:19:00Z</dcterms:modified>
</cp:coreProperties>
</file>